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לירון זרבל- קדשאי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25BB3" w:rsidRDefault="00D85CE2" w:rsidP="00D85CE2">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D85CE2" w:rsidRDefault="00D85CE2" w:rsidP="00897DAF">
            <w:pPr>
              <w:suppressLineNumbers/>
              <w:rPr>
                <w:rtl/>
              </w:rPr>
            </w:pPr>
          </w:p>
          <w:p w:rsidR="0094424E" w:rsidRDefault="00D1698E" w:rsidP="00E720D9">
            <w:pPr>
              <w:suppressLineNumbers/>
              <w:rPr>
                <w:b/>
                <w:bCs/>
                <w:noProof w:val="0"/>
                <w:sz w:val="26"/>
                <w:szCs w:val="26"/>
                <w:rtl/>
              </w:rPr>
            </w:pPr>
            <w:sdt>
              <w:sdtPr>
                <w:rPr>
                  <w:rtl/>
                </w:rPr>
                <w:alias w:val="1486"/>
                <w:tag w:val="1486"/>
                <w:id w:val="-2004965173"/>
                <w:text w:multiLine="1"/>
              </w:sdtPr>
              <w:sdtEndPr/>
              <w:sdtContent>
                <w:r w:rsidR="00D85CE2">
                  <w:rPr>
                    <w:rFonts w:ascii="Arial" w:hAnsi="Arial" w:hint="cs"/>
                    <w:b/>
                    <w:bCs/>
                    <w:noProof w:val="0"/>
                    <w:sz w:val="26"/>
                    <w:szCs w:val="26"/>
                    <w:rtl/>
                  </w:rPr>
                  <w:t>עו"ד</w:t>
                </w:r>
              </w:sdtContent>
            </w:sdt>
            <w:r w:rsidR="00D85CE2">
              <w:rPr>
                <w:rFonts w:ascii="Arial" w:hAnsi="Arial" w:hint="cs"/>
                <w:b/>
                <w:bCs/>
                <w:noProof w:val="0"/>
                <w:sz w:val="26"/>
                <w:szCs w:val="26"/>
                <w:rtl/>
              </w:rPr>
              <w:t xml:space="preserve"> </w:t>
            </w:r>
            <w:r w:rsidR="00E720D9">
              <w:rPr>
                <w:rFonts w:ascii="Arial" w:hAnsi="Arial" w:hint="cs"/>
                <w:b/>
                <w:bCs/>
                <w:noProof w:val="0"/>
                <w:sz w:val="26"/>
                <w:szCs w:val="26"/>
                <w:rtl/>
              </w:rPr>
              <w:t>אלמונית</w:t>
            </w:r>
          </w:p>
          <w:p w:rsidR="00D85CE2" w:rsidRDefault="00D85CE2" w:rsidP="00D85CE2">
            <w:pPr>
              <w:suppressLineNumbers/>
              <w:rPr>
                <w:b/>
                <w:bCs/>
                <w:noProof w:val="0"/>
                <w:sz w:val="26"/>
                <w:szCs w:val="26"/>
                <w:rtl/>
              </w:rPr>
            </w:pPr>
          </w:p>
          <w:p w:rsidR="00D85CE2" w:rsidRPr="00D85CE2" w:rsidRDefault="00D85CE2" w:rsidP="00D85CE2">
            <w:pPr>
              <w:suppressLineNumbers/>
              <w:rPr>
                <w:noProof w:val="0"/>
                <w:sz w:val="26"/>
                <w:szCs w:val="26"/>
              </w:rPr>
            </w:pPr>
            <w:r>
              <w:rPr>
                <w:rFonts w:hint="cs"/>
                <w:noProof w:val="0"/>
                <w:sz w:val="26"/>
                <w:szCs w:val="26"/>
                <w:rtl/>
              </w:rPr>
              <w:t xml:space="preserve">ע"י ב"כ עו"ד ניר </w:t>
            </w:r>
            <w:proofErr w:type="spellStart"/>
            <w:r>
              <w:rPr>
                <w:rFonts w:hint="cs"/>
                <w:noProof w:val="0"/>
                <w:sz w:val="26"/>
                <w:szCs w:val="26"/>
                <w:rtl/>
              </w:rPr>
              <w:t>ברששת</w:t>
            </w:r>
            <w:proofErr w:type="spellEnd"/>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4424E" w:rsidP="00D44968">
            <w:pPr>
              <w:suppressLineNumbers/>
              <w:rPr>
                <w:rFonts w:ascii="Arial" w:hAnsi="Arial"/>
                <w:b/>
                <w:bCs/>
                <w:noProof w:val="0"/>
                <w:sz w:val="26"/>
                <w:szCs w:val="26"/>
                <w:rtl/>
              </w:rPr>
            </w:pPr>
          </w:p>
          <w:p w:rsidR="00D85CE2" w:rsidRDefault="00D85CE2" w:rsidP="00D44968">
            <w:pPr>
              <w:suppressLineNumbers/>
              <w:rPr>
                <w:rFonts w:ascii="Arial" w:hAnsi="Arial"/>
                <w:b/>
                <w:bCs/>
                <w:noProof w:val="0"/>
                <w:sz w:val="26"/>
                <w:szCs w:val="26"/>
              </w:rPr>
            </w:pPr>
            <w:r>
              <w:rPr>
                <w:rFonts w:ascii="Arial" w:hAnsi="Arial" w:hint="cs"/>
                <w:b/>
                <w:bCs/>
                <w:noProof w:val="0"/>
                <w:sz w:val="26"/>
                <w:szCs w:val="26"/>
                <w:rtl/>
              </w:rPr>
              <w:t>המשיבה</w:t>
            </w:r>
          </w:p>
        </w:tc>
        <w:tc>
          <w:tcPr>
            <w:tcW w:w="5571" w:type="dxa"/>
          </w:tcPr>
          <w:p w:rsidR="0094424E" w:rsidRDefault="0094424E" w:rsidP="00D85CE2">
            <w:pPr>
              <w:suppressLineNumbers/>
              <w:rPr>
                <w:rFonts w:ascii="Arial" w:hAnsi="Arial"/>
                <w:b/>
                <w:bCs/>
                <w:noProof w:val="0"/>
                <w:sz w:val="26"/>
                <w:szCs w:val="26"/>
                <w:rtl/>
              </w:rPr>
            </w:pPr>
          </w:p>
          <w:p w:rsidR="00D85CE2" w:rsidRDefault="00D1698E" w:rsidP="00E720D9">
            <w:pPr>
              <w:suppressLineNumbers/>
              <w:rPr>
                <w:rFonts w:ascii="Arial" w:hAnsi="Arial"/>
                <w:b/>
                <w:bCs/>
                <w:noProof w:val="0"/>
                <w:sz w:val="26"/>
                <w:szCs w:val="26"/>
                <w:rtl/>
              </w:rPr>
            </w:pPr>
            <w:sdt>
              <w:sdtPr>
                <w:rPr>
                  <w:rFonts w:ascii="Arial" w:hAnsi="Arial"/>
                  <w:b/>
                  <w:bCs/>
                  <w:noProof w:val="0"/>
                  <w:sz w:val="26"/>
                  <w:szCs w:val="26"/>
                  <w:rtl/>
                </w:rPr>
                <w:alias w:val="1478"/>
                <w:tag w:val="1478"/>
                <w:id w:val="1871028774"/>
                <w:text w:multiLine="1"/>
              </w:sdtPr>
              <w:sdtEndPr/>
              <w:sdtContent>
                <w:r w:rsidR="00E720D9">
                  <w:rPr>
                    <w:rFonts w:ascii="Arial" w:hAnsi="Arial" w:hint="cs"/>
                    <w:b/>
                    <w:bCs/>
                    <w:noProof w:val="0"/>
                    <w:sz w:val="26"/>
                    <w:szCs w:val="26"/>
                    <w:rtl/>
                  </w:rPr>
                  <w:t>פלונית</w:t>
                </w:r>
              </w:sdtContent>
            </w:sdt>
          </w:p>
          <w:p w:rsidR="00D85CE2" w:rsidRDefault="00D85CE2" w:rsidP="00897DAF">
            <w:pPr>
              <w:suppressLineNumbers/>
              <w:rPr>
                <w:rFonts w:ascii="Arial" w:hAnsi="Arial"/>
                <w:b/>
                <w:bCs/>
                <w:noProof w:val="0"/>
                <w:sz w:val="26"/>
                <w:szCs w:val="26"/>
                <w:rtl/>
              </w:rPr>
            </w:pPr>
          </w:p>
          <w:p w:rsidR="00D85CE2" w:rsidRDefault="00D85CE2" w:rsidP="00D85CE2">
            <w:pPr>
              <w:suppressLineNumbers/>
              <w:rPr>
                <w:rFonts w:ascii="Arial" w:hAnsi="Arial"/>
                <w:b/>
                <w:bCs/>
                <w:noProof w:val="0"/>
                <w:sz w:val="26"/>
                <w:szCs w:val="26"/>
                <w:rtl/>
              </w:rPr>
            </w:pPr>
            <w:r>
              <w:rPr>
                <w:rFonts w:ascii="Arial" w:hAnsi="Arial" w:hint="cs"/>
                <w:noProof w:val="0"/>
                <w:sz w:val="26"/>
                <w:szCs w:val="26"/>
                <w:rtl/>
              </w:rPr>
              <w:t>ע"י ב"כ עו"ד מימון אביטן</w:t>
            </w:r>
          </w:p>
          <w:p w:rsidR="00D85CE2" w:rsidRPr="00E54CD9" w:rsidRDefault="00D85CE2" w:rsidP="00897DAF">
            <w:pPr>
              <w:suppressLineNumbers/>
              <w:rPr>
                <w:rFonts w:ascii="Arial" w:hAnsi="Arial"/>
                <w:b/>
                <w:bCs/>
                <w:noProof w:val="0"/>
                <w:sz w:val="26"/>
                <w:szCs w:val="26"/>
                <w:rtl/>
              </w:rPr>
            </w:pPr>
          </w:p>
        </w:tc>
      </w:tr>
      <w:tr w:rsidR="00694556" w:rsidRPr="00DE1E7D">
        <w:trPr>
          <w:jc w:val="center"/>
        </w:trPr>
        <w:tc>
          <w:tcPr>
            <w:tcW w:w="8820" w:type="dxa"/>
            <w:gridSpan w:val="3"/>
          </w:tcPr>
          <w:p w:rsidR="00D85CE2" w:rsidRDefault="00D85CE2">
            <w:pPr>
              <w:bidi w:val="0"/>
              <w:jc w:val="center"/>
              <w:rPr>
                <w:rFonts w:ascii="Arial" w:hAnsi="Arial"/>
                <w:b/>
                <w:bCs/>
                <w:noProof w:val="0"/>
                <w:sz w:val="28"/>
                <w:szCs w:val="28"/>
                <w:u w:val="single"/>
              </w:rPr>
            </w:pPr>
          </w:p>
          <w:p w:rsidR="00694556" w:rsidRDefault="00180519" w:rsidP="00D85CE2">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694556" w:rsidRDefault="00D85CE2" w:rsidP="00D85CE2">
      <w:pPr>
        <w:pStyle w:val="ad"/>
        <w:numPr>
          <w:ilvl w:val="0"/>
          <w:numId w:val="1"/>
        </w:numPr>
        <w:spacing w:line="360" w:lineRule="auto"/>
        <w:ind w:left="141"/>
        <w:jc w:val="both"/>
        <w:rPr>
          <w:rFonts w:ascii="Arial" w:hAnsi="Arial"/>
          <w:noProof w:val="0"/>
        </w:rPr>
      </w:pPr>
      <w:r w:rsidRPr="00D85CE2">
        <w:rPr>
          <w:rFonts w:ascii="Arial" w:hAnsi="Arial" w:hint="cs"/>
          <w:noProof w:val="0"/>
          <w:rtl/>
        </w:rPr>
        <w:t>לפני בקשת המבקשת למחיקתה מכתב התביעה</w:t>
      </w:r>
      <w:r w:rsidR="00054FA6">
        <w:rPr>
          <w:rFonts w:ascii="Arial" w:hAnsi="Arial" w:hint="cs"/>
          <w:noProof w:val="0"/>
          <w:rtl/>
        </w:rPr>
        <w:t xml:space="preserve"> המתוקן</w:t>
      </w:r>
      <w:r w:rsidRPr="00D85CE2">
        <w:rPr>
          <w:rFonts w:ascii="Arial" w:hAnsi="Arial" w:hint="cs"/>
          <w:noProof w:val="0"/>
          <w:rtl/>
        </w:rPr>
        <w:t>.</w:t>
      </w:r>
    </w:p>
    <w:p w:rsidR="00D85CE2" w:rsidRDefault="00D85CE2" w:rsidP="00D85CE2">
      <w:pPr>
        <w:pStyle w:val="ad"/>
        <w:spacing w:line="360" w:lineRule="auto"/>
        <w:ind w:left="141"/>
        <w:jc w:val="both"/>
        <w:rPr>
          <w:rFonts w:ascii="Arial" w:hAnsi="Arial"/>
          <w:noProof w:val="0"/>
        </w:rPr>
      </w:pPr>
    </w:p>
    <w:p w:rsidR="00D85CE2" w:rsidRDefault="00D85CE2" w:rsidP="0010487B">
      <w:pPr>
        <w:pStyle w:val="ad"/>
        <w:numPr>
          <w:ilvl w:val="0"/>
          <w:numId w:val="1"/>
        </w:numPr>
        <w:spacing w:line="360" w:lineRule="auto"/>
        <w:ind w:left="141"/>
        <w:jc w:val="both"/>
        <w:rPr>
          <w:rFonts w:ascii="Arial" w:hAnsi="Arial"/>
          <w:noProof w:val="0"/>
        </w:rPr>
      </w:pPr>
      <w:r>
        <w:rPr>
          <w:rFonts w:ascii="Arial" w:hAnsi="Arial" w:hint="cs"/>
          <w:noProof w:val="0"/>
          <w:rtl/>
        </w:rPr>
        <w:t xml:space="preserve">עסקינן בכתב תביעה מתוקן שהגישה המשיבה כנגד בתה ובעלה </w:t>
      </w:r>
      <w:r w:rsidR="00054FA6">
        <w:rPr>
          <w:rFonts w:ascii="Arial" w:hAnsi="Arial" w:hint="cs"/>
          <w:noProof w:val="0"/>
          <w:rtl/>
        </w:rPr>
        <w:t>(</w:t>
      </w:r>
      <w:r>
        <w:rPr>
          <w:rFonts w:ascii="Arial" w:hAnsi="Arial" w:hint="cs"/>
          <w:noProof w:val="0"/>
          <w:rtl/>
        </w:rPr>
        <w:t>של הבת</w:t>
      </w:r>
      <w:r w:rsidR="00054FA6">
        <w:rPr>
          <w:rFonts w:ascii="Arial" w:hAnsi="Arial" w:hint="cs"/>
          <w:noProof w:val="0"/>
          <w:rtl/>
        </w:rPr>
        <w:t>)</w:t>
      </w:r>
      <w:r>
        <w:rPr>
          <w:rFonts w:ascii="Arial" w:hAnsi="Arial" w:hint="cs"/>
          <w:noProof w:val="0"/>
          <w:rtl/>
        </w:rPr>
        <w:t xml:space="preserve"> וכן כנגד המבקשת</w:t>
      </w:r>
      <w:r w:rsidR="00054FA6">
        <w:rPr>
          <w:rFonts w:ascii="Arial" w:hAnsi="Arial" w:hint="cs"/>
          <w:noProof w:val="0"/>
          <w:rtl/>
        </w:rPr>
        <w:t>, עו"ד במקצועה</w:t>
      </w:r>
      <w:r>
        <w:rPr>
          <w:rFonts w:ascii="Arial" w:hAnsi="Arial" w:hint="cs"/>
          <w:noProof w:val="0"/>
          <w:rtl/>
        </w:rPr>
        <w:t>. בתמצית נטען כי הבת והבע</w:t>
      </w:r>
      <w:r w:rsidR="0010487B">
        <w:rPr>
          <w:rFonts w:ascii="Arial" w:hAnsi="Arial" w:hint="cs"/>
          <w:noProof w:val="0"/>
          <w:rtl/>
        </w:rPr>
        <w:t>ל</w:t>
      </w:r>
      <w:r>
        <w:rPr>
          <w:rFonts w:ascii="Arial" w:hAnsi="Arial" w:hint="cs"/>
          <w:noProof w:val="0"/>
          <w:rtl/>
        </w:rPr>
        <w:t xml:space="preserve"> </w:t>
      </w:r>
      <w:r w:rsidR="0010487B">
        <w:rPr>
          <w:rFonts w:ascii="Arial" w:hAnsi="Arial" w:hint="cs"/>
          <w:noProof w:val="0"/>
          <w:rtl/>
        </w:rPr>
        <w:t>ניצלו את תום ליבה ואמונה</w:t>
      </w:r>
      <w:r w:rsidR="00103291">
        <w:rPr>
          <w:rFonts w:ascii="Arial" w:hAnsi="Arial" w:hint="cs"/>
          <w:noProof w:val="0"/>
          <w:rtl/>
        </w:rPr>
        <w:t xml:space="preserve"> של המשיבה והחתימו אותה על מסמכי עסקת מתנה להעברת מחצית מזכויותיה בדירה לטובת הבת. נטען עוד, כי המבקשת "</w:t>
      </w:r>
      <w:r w:rsidR="00103291" w:rsidRPr="000B2A6D">
        <w:rPr>
          <w:rFonts w:ascii="Arial" w:hAnsi="Arial" w:hint="cs"/>
          <w:b/>
          <w:bCs/>
          <w:noProof w:val="0"/>
          <w:rtl/>
        </w:rPr>
        <w:t>שיתפה פעולה עם הנתבעים והטעתה את התובעת תוך מתן מצג שווא רשלני כי כביכול מדובר בעניין הקשור לרשויות המס, שעה שהחתימה אותה על מסמכי עסקת מתנה להעברת מחצית מזכויותיה בדירה לנתבעת 1 ואף טפלה בהעברה ורישום הזכויות בלשכת רישום מקרקעין</w:t>
      </w:r>
      <w:r w:rsidR="000B2A6D" w:rsidRPr="000B2A6D">
        <w:rPr>
          <w:rFonts w:ascii="Arial" w:hAnsi="Arial" w:hint="cs"/>
          <w:b/>
          <w:bCs/>
          <w:noProof w:val="0"/>
          <w:rtl/>
        </w:rPr>
        <w:t>... מבלי שטרחה לוודא, כי התובעת מבינה את המשמעויות המשפטיות והעובדתיות של המסמכים עליהם היא חותמת, ובמיוחד בשים לב לעובדה שהתובעת כמעט ואינה מסוגלת לקרוא עברית</w:t>
      </w:r>
      <w:r w:rsidR="00E720D9">
        <w:rPr>
          <w:rFonts w:ascii="Arial" w:hAnsi="Arial" w:hint="cs"/>
          <w:noProof w:val="0"/>
          <w:rtl/>
        </w:rPr>
        <w:t>".</w:t>
      </w:r>
      <w:r w:rsidR="00103291">
        <w:rPr>
          <w:rFonts w:ascii="Arial" w:hAnsi="Arial" w:hint="cs"/>
          <w:noProof w:val="0"/>
          <w:rtl/>
        </w:rPr>
        <w:t xml:space="preserve"> </w:t>
      </w:r>
      <w:r w:rsidR="000B2A6D">
        <w:rPr>
          <w:rFonts w:ascii="Arial" w:hAnsi="Arial" w:hint="cs"/>
          <w:noProof w:val="0"/>
          <w:rtl/>
        </w:rPr>
        <w:t>כתב התביעה המתוקן מונה טענות וסעדים נוספים, אשר אינם נוגעים למבקשת.</w:t>
      </w:r>
    </w:p>
    <w:p w:rsidR="000B2A6D" w:rsidRPr="000B2A6D" w:rsidRDefault="000B2A6D" w:rsidP="000B2A6D">
      <w:pPr>
        <w:pStyle w:val="ad"/>
        <w:rPr>
          <w:rFonts w:ascii="Arial" w:hAnsi="Arial"/>
          <w:noProof w:val="0"/>
          <w:rtl/>
        </w:rPr>
      </w:pPr>
    </w:p>
    <w:p w:rsidR="000B2A6D" w:rsidRDefault="000B2A6D" w:rsidP="00054FA6">
      <w:pPr>
        <w:pStyle w:val="ad"/>
        <w:numPr>
          <w:ilvl w:val="0"/>
          <w:numId w:val="1"/>
        </w:numPr>
        <w:spacing w:line="360" w:lineRule="auto"/>
        <w:ind w:left="141"/>
        <w:jc w:val="both"/>
        <w:rPr>
          <w:rFonts w:ascii="Arial" w:hAnsi="Arial"/>
          <w:noProof w:val="0"/>
        </w:rPr>
      </w:pPr>
      <w:r>
        <w:rPr>
          <w:rFonts w:ascii="Arial" w:hAnsi="Arial" w:hint="cs"/>
          <w:noProof w:val="0"/>
          <w:rtl/>
        </w:rPr>
        <w:t>בבקשתה טוענת המבקשת כי ביהמ"ש זה נעדר סמכות לדון בתביעה ככל שהיא נוגעת למישור היחסים בינה לבין המשיבה. לדידה, אין כל קשר משפחתי בינה לבין</w:t>
      </w:r>
      <w:r w:rsidR="0022204D">
        <w:rPr>
          <w:rFonts w:ascii="Arial" w:hAnsi="Arial" w:hint="cs"/>
          <w:noProof w:val="0"/>
          <w:rtl/>
        </w:rPr>
        <w:t xml:space="preserve"> </w:t>
      </w:r>
      <w:r>
        <w:rPr>
          <w:rFonts w:ascii="Arial" w:hAnsi="Arial" w:hint="cs"/>
          <w:noProof w:val="0"/>
          <w:rtl/>
        </w:rPr>
        <w:t>המשיבה</w:t>
      </w:r>
      <w:r w:rsidR="0022204D">
        <w:rPr>
          <w:rFonts w:ascii="Arial" w:hAnsi="Arial" w:hint="cs"/>
          <w:noProof w:val="0"/>
          <w:rtl/>
        </w:rPr>
        <w:t xml:space="preserve">. </w:t>
      </w:r>
      <w:r w:rsidR="00054FA6">
        <w:rPr>
          <w:rFonts w:ascii="Arial" w:hAnsi="Arial" w:hint="cs"/>
          <w:noProof w:val="0"/>
          <w:rtl/>
        </w:rPr>
        <w:t xml:space="preserve">בנוסף, </w:t>
      </w:r>
      <w:r>
        <w:rPr>
          <w:rFonts w:ascii="Arial" w:hAnsi="Arial" w:hint="cs"/>
          <w:noProof w:val="0"/>
          <w:rtl/>
        </w:rPr>
        <w:t>בין אם מדובר בטענות חמורות כגון תרמית והונאה ובין אם עסקינן בטענה לרשלנות, אזי מדובר בהליך אזרחי מובהק, המסור לסמכותו הייחודית של ביהמ"ש השלום. בנסיבות אלו עותרת המבקשת למחיקתה מכתב התביעה המתוקן ולחיוב המשיבה בהוצאות.</w:t>
      </w:r>
    </w:p>
    <w:p w:rsidR="000B2A6D" w:rsidRPr="000B2A6D" w:rsidRDefault="000B2A6D" w:rsidP="000B2A6D">
      <w:pPr>
        <w:pStyle w:val="ad"/>
        <w:rPr>
          <w:rFonts w:ascii="Arial" w:hAnsi="Arial"/>
          <w:noProof w:val="0"/>
          <w:rtl/>
        </w:rPr>
      </w:pPr>
    </w:p>
    <w:p w:rsidR="000B2A6D" w:rsidRDefault="0022204D" w:rsidP="00E720D9">
      <w:pPr>
        <w:pStyle w:val="ad"/>
        <w:numPr>
          <w:ilvl w:val="0"/>
          <w:numId w:val="1"/>
        </w:numPr>
        <w:spacing w:line="360" w:lineRule="auto"/>
        <w:ind w:left="141"/>
        <w:jc w:val="both"/>
        <w:rPr>
          <w:rFonts w:ascii="Arial" w:hAnsi="Arial"/>
          <w:noProof w:val="0"/>
        </w:rPr>
      </w:pPr>
      <w:r>
        <w:rPr>
          <w:rFonts w:ascii="Arial" w:hAnsi="Arial" w:hint="cs"/>
          <w:noProof w:val="0"/>
          <w:rtl/>
        </w:rPr>
        <w:lastRenderedPageBreak/>
        <w:t>בתגובתה טוענת המשיבה כי המבקשת עוסקת בפרוצדורה ונמנעת מלהתמודד בבקשתה עם מהות הטענות המופנות כלפיה. עוד נטען, כי בהתאם לסעיף 6(ו) לחוק בית המשפט לענייני משפחה, ניתן לצרף להליך בביהמ"ש לענייני משפחה צד נדרש שאינו בן משפחה</w:t>
      </w:r>
      <w:r w:rsidR="009F101A">
        <w:rPr>
          <w:rFonts w:ascii="Arial" w:hAnsi="Arial" w:hint="cs"/>
          <w:noProof w:val="0"/>
          <w:rtl/>
        </w:rPr>
        <w:t xml:space="preserve">. לדידה של המשיבה, המבקשת היא שהחתימה את </w:t>
      </w:r>
      <w:r w:rsidR="00E720D9">
        <w:rPr>
          <w:rFonts w:ascii="Arial" w:hAnsi="Arial" w:hint="cs"/>
          <w:noProof w:val="0"/>
          <w:rtl/>
        </w:rPr>
        <w:t>המשיבה</w:t>
      </w:r>
      <w:r w:rsidR="009F101A">
        <w:rPr>
          <w:rFonts w:ascii="Arial" w:hAnsi="Arial" w:hint="cs"/>
          <w:noProof w:val="0"/>
          <w:rtl/>
        </w:rPr>
        <w:t xml:space="preserve"> על המסמכים "</w:t>
      </w:r>
      <w:r w:rsidR="009F101A" w:rsidRPr="00054FA6">
        <w:rPr>
          <w:rFonts w:ascii="Arial" w:hAnsi="Arial" w:hint="cs"/>
          <w:b/>
          <w:bCs/>
          <w:noProof w:val="0"/>
          <w:rtl/>
        </w:rPr>
        <w:t>שגזלו מחצית דירתה</w:t>
      </w:r>
      <w:r w:rsidR="001B6EAA" w:rsidRPr="00054FA6">
        <w:rPr>
          <w:rFonts w:ascii="Arial" w:hAnsi="Arial" w:hint="cs"/>
          <w:b/>
          <w:bCs/>
          <w:noProof w:val="0"/>
          <w:rtl/>
        </w:rPr>
        <w:t xml:space="preserve"> מבלי שהסבירה לה ווידאה שהבינה בדיוק על מה היא חותמת, היא זו שפעלה בעצה אחת עם יתר הנתבעים במטרה להטעות ולע</w:t>
      </w:r>
      <w:r w:rsidR="00E720D9">
        <w:rPr>
          <w:rFonts w:ascii="Arial" w:hAnsi="Arial" w:hint="cs"/>
          <w:b/>
          <w:bCs/>
          <w:noProof w:val="0"/>
          <w:rtl/>
        </w:rPr>
        <w:t>ש</w:t>
      </w:r>
      <w:r w:rsidR="001B6EAA" w:rsidRPr="00054FA6">
        <w:rPr>
          <w:rFonts w:ascii="Arial" w:hAnsi="Arial" w:hint="cs"/>
          <w:b/>
          <w:bCs/>
          <w:noProof w:val="0"/>
          <w:rtl/>
        </w:rPr>
        <w:t>וק את התובעת וממילא לא ניתן להפריד בינה ובין יתר הנתבעים בברור העניין</w:t>
      </w:r>
      <w:r w:rsidR="001B6EAA">
        <w:rPr>
          <w:rFonts w:ascii="Arial" w:hAnsi="Arial" w:hint="cs"/>
          <w:noProof w:val="0"/>
          <w:rtl/>
        </w:rPr>
        <w:t xml:space="preserve">". גם טעמי יעילות על פי הנטען תומכים בהותרת המבקשת כבעלת דין בהליך. פיצול ההליך מנוגד על פי הנטען לעקרונות היסוד של דיני המשפחה, שמטרתם לרכז את הסכסוכים המשפחתיים תחת ערכאה שיפוטית אחת. </w:t>
      </w:r>
    </w:p>
    <w:p w:rsidR="001B6EAA" w:rsidRPr="001B6EAA" w:rsidRDefault="001B6EAA" w:rsidP="001B6EAA">
      <w:pPr>
        <w:pStyle w:val="ad"/>
        <w:rPr>
          <w:rFonts w:ascii="Arial" w:hAnsi="Arial"/>
          <w:noProof w:val="0"/>
          <w:rtl/>
        </w:rPr>
      </w:pPr>
    </w:p>
    <w:p w:rsidR="001B6EAA" w:rsidRDefault="001B6EAA" w:rsidP="0022204D">
      <w:pPr>
        <w:pStyle w:val="ad"/>
        <w:numPr>
          <w:ilvl w:val="0"/>
          <w:numId w:val="1"/>
        </w:numPr>
        <w:spacing w:line="360" w:lineRule="auto"/>
        <w:ind w:left="141"/>
        <w:jc w:val="both"/>
        <w:rPr>
          <w:rFonts w:ascii="Arial" w:hAnsi="Arial"/>
          <w:noProof w:val="0"/>
        </w:rPr>
      </w:pPr>
      <w:r>
        <w:rPr>
          <w:rFonts w:ascii="Arial" w:hAnsi="Arial" w:hint="cs"/>
          <w:noProof w:val="0"/>
          <w:rtl/>
        </w:rPr>
        <w:t xml:space="preserve">לאחר שבחנתי את טענות הצדדים, שוכנעתי כי הדין עם המבקשת וכי יש להורות על מחיקתה מכתב התביעה המתוקן. להלן נימוקיי. </w:t>
      </w:r>
    </w:p>
    <w:p w:rsidR="001B6EAA" w:rsidRPr="001B6EAA" w:rsidRDefault="001B6EAA" w:rsidP="001B6EAA">
      <w:pPr>
        <w:pStyle w:val="ad"/>
        <w:rPr>
          <w:rFonts w:ascii="Arial" w:hAnsi="Arial"/>
          <w:noProof w:val="0"/>
          <w:rtl/>
        </w:rPr>
      </w:pPr>
    </w:p>
    <w:p w:rsidR="001B6EAA" w:rsidRDefault="001B6EAA" w:rsidP="0022204D">
      <w:pPr>
        <w:pStyle w:val="ad"/>
        <w:numPr>
          <w:ilvl w:val="0"/>
          <w:numId w:val="1"/>
        </w:numPr>
        <w:spacing w:line="360" w:lineRule="auto"/>
        <w:ind w:left="141"/>
        <w:jc w:val="both"/>
        <w:rPr>
          <w:rFonts w:ascii="Arial" w:hAnsi="Arial"/>
          <w:noProof w:val="0"/>
        </w:rPr>
      </w:pPr>
      <w:r>
        <w:rPr>
          <w:rFonts w:ascii="Arial" w:hAnsi="Arial" w:hint="cs"/>
          <w:noProof w:val="0"/>
          <w:rtl/>
        </w:rPr>
        <w:t>ראשית ומקדמית, כלל לא הוגשה בקשה לצירוף המבקשת</w:t>
      </w:r>
      <w:r w:rsidR="00054FA6">
        <w:rPr>
          <w:rFonts w:ascii="Arial" w:hAnsi="Arial" w:hint="cs"/>
          <w:noProof w:val="0"/>
          <w:rtl/>
        </w:rPr>
        <w:t>, שאינה בת משפחה,</w:t>
      </w:r>
      <w:r>
        <w:rPr>
          <w:rFonts w:ascii="Arial" w:hAnsi="Arial" w:hint="cs"/>
          <w:noProof w:val="0"/>
          <w:rtl/>
        </w:rPr>
        <w:t xml:space="preserve"> לכתב התביעה, והיא נכללה בכתב התביעה המקורי וה</w:t>
      </w:r>
      <w:r w:rsidR="008B1BA9">
        <w:rPr>
          <w:rFonts w:ascii="Arial" w:hAnsi="Arial" w:hint="cs"/>
          <w:noProof w:val="0"/>
          <w:rtl/>
        </w:rPr>
        <w:t>מ</w:t>
      </w:r>
      <w:r>
        <w:rPr>
          <w:rFonts w:ascii="Arial" w:hAnsi="Arial" w:hint="cs"/>
          <w:noProof w:val="0"/>
          <w:rtl/>
        </w:rPr>
        <w:t xml:space="preserve">תוקן כאילו כבר ניתנה רשות לצרפה, ללא כל הגשת בקשה מנומקת כנדרש. </w:t>
      </w:r>
    </w:p>
    <w:p w:rsidR="001B6EAA" w:rsidRPr="00054FA6" w:rsidRDefault="001B6EAA" w:rsidP="001B6EAA">
      <w:pPr>
        <w:pStyle w:val="ad"/>
        <w:rPr>
          <w:rFonts w:ascii="Arial" w:hAnsi="Arial"/>
          <w:noProof w:val="0"/>
          <w:rtl/>
        </w:rPr>
      </w:pPr>
    </w:p>
    <w:p w:rsidR="00830C65" w:rsidRPr="008B1BA9" w:rsidRDefault="001B6EAA" w:rsidP="008B1BA9">
      <w:pPr>
        <w:pStyle w:val="ad"/>
        <w:numPr>
          <w:ilvl w:val="0"/>
          <w:numId w:val="1"/>
        </w:numPr>
        <w:spacing w:line="360" w:lineRule="auto"/>
        <w:ind w:left="141"/>
        <w:jc w:val="both"/>
        <w:rPr>
          <w:rFonts w:ascii="David" w:hAnsi="David"/>
        </w:rPr>
      </w:pPr>
      <w:r w:rsidRPr="008B1BA9">
        <w:rPr>
          <w:rFonts w:ascii="Arial" w:hAnsi="Arial" w:hint="cs"/>
          <w:noProof w:val="0"/>
          <w:rtl/>
        </w:rPr>
        <w:t xml:space="preserve">שנית, </w:t>
      </w:r>
      <w:r w:rsidR="00830C65" w:rsidRPr="008B1BA9">
        <w:rPr>
          <w:rFonts w:ascii="David" w:hAnsi="David"/>
          <w:rtl/>
        </w:rPr>
        <w:t>סעיף 6(ו) לחוק בית משפט לעניי</w:t>
      </w:r>
      <w:r w:rsidR="008B1BA9" w:rsidRPr="008B1BA9">
        <w:rPr>
          <w:rFonts w:ascii="David" w:hAnsi="David"/>
          <w:rtl/>
        </w:rPr>
        <w:t xml:space="preserve">ני משפחה, התשנ"ה – 1995, קובע </w:t>
      </w:r>
      <w:r w:rsidR="008B1BA9" w:rsidRPr="008B1BA9">
        <w:rPr>
          <w:rFonts w:ascii="David" w:hAnsi="David" w:hint="cs"/>
          <w:rtl/>
        </w:rPr>
        <w:t xml:space="preserve">כי </w:t>
      </w:r>
      <w:r w:rsidR="00830C65" w:rsidRPr="008B1BA9">
        <w:rPr>
          <w:rFonts w:ascii="David" w:hAnsi="David"/>
          <w:rtl/>
        </w:rPr>
        <w:t>"</w:t>
      </w:r>
      <w:r w:rsidR="00830C65" w:rsidRPr="008B1BA9">
        <w:rPr>
          <w:rFonts w:ascii="David" w:hAnsi="David"/>
          <w:b/>
          <w:bCs/>
          <w:rtl/>
        </w:rPr>
        <w:t>6(ו) בית משפט לעניני משפחה רשאי לצרף לתובענה מי שלצורך בירור התובענה והכרעה בסכסוך נדרש שיהיה צד לה, יהא נושא התובענה או שוויה אשר יהא</w:t>
      </w:r>
      <w:r w:rsidR="00830C65" w:rsidRPr="008B1BA9">
        <w:rPr>
          <w:rFonts w:ascii="David" w:hAnsi="David"/>
          <w:rtl/>
        </w:rPr>
        <w:t>"</w:t>
      </w:r>
      <w:r w:rsidR="008B1BA9" w:rsidRPr="008B1BA9">
        <w:rPr>
          <w:rFonts w:ascii="David" w:hAnsi="David" w:hint="cs"/>
          <w:rtl/>
        </w:rPr>
        <w:t xml:space="preserve">. </w:t>
      </w:r>
      <w:r w:rsidR="00830C65" w:rsidRPr="008B1BA9">
        <w:rPr>
          <w:rFonts w:ascii="David" w:hAnsi="David"/>
          <w:rtl/>
        </w:rPr>
        <w:t xml:space="preserve">ב- בע"מ 6975/12 </w:t>
      </w:r>
      <w:r w:rsidR="00830C65" w:rsidRPr="008B1BA9">
        <w:rPr>
          <w:rFonts w:ascii="David" w:hAnsi="David"/>
          <w:b/>
          <w:bCs/>
          <w:rtl/>
        </w:rPr>
        <w:t>ב.ח.מ.ח ניהול ואחזקות בע"מ נ' עו"ד עופר שפירא כונס נכסים</w:t>
      </w:r>
      <w:r w:rsidR="00830C65" w:rsidRPr="008B1BA9">
        <w:rPr>
          <w:rFonts w:ascii="David" w:hAnsi="David"/>
          <w:rtl/>
        </w:rPr>
        <w:t xml:space="preserve"> (28.10.12) </w:t>
      </w:r>
      <w:r w:rsidR="008B1BA9">
        <w:rPr>
          <w:rFonts w:ascii="David" w:hAnsi="David" w:hint="cs"/>
          <w:rtl/>
        </w:rPr>
        <w:t xml:space="preserve">עמד ביהמ"ש העליון על </w:t>
      </w:r>
      <w:r w:rsidR="00830C65" w:rsidRPr="008B1BA9">
        <w:rPr>
          <w:rFonts w:ascii="David" w:hAnsi="David"/>
          <w:rtl/>
        </w:rPr>
        <w:t>הדברים הבאים</w:t>
      </w:r>
      <w:r w:rsidR="008B1BA9">
        <w:rPr>
          <w:rFonts w:ascii="David" w:hAnsi="David" w:hint="cs"/>
          <w:rtl/>
        </w:rPr>
        <w:t xml:space="preserve"> היפים לענייננו</w:t>
      </w:r>
      <w:r w:rsidR="00830C65" w:rsidRPr="008B1BA9">
        <w:rPr>
          <w:rFonts w:ascii="David" w:hAnsi="David"/>
          <w:rtl/>
        </w:rPr>
        <w:t xml:space="preserve"> (ההדגשה אינה במקור):</w:t>
      </w:r>
    </w:p>
    <w:p w:rsidR="00830C65" w:rsidRDefault="00830C65" w:rsidP="00830C65">
      <w:pPr>
        <w:spacing w:line="360" w:lineRule="auto"/>
        <w:rPr>
          <w:rFonts w:ascii="David" w:hAnsi="David"/>
          <w:rtl/>
        </w:rPr>
      </w:pPr>
    </w:p>
    <w:p w:rsidR="00830C65" w:rsidRDefault="00830C65" w:rsidP="00830C65">
      <w:pPr>
        <w:pStyle w:val="ad"/>
        <w:spacing w:line="360" w:lineRule="auto"/>
        <w:ind w:left="1440" w:right="1276"/>
        <w:jc w:val="both"/>
        <w:rPr>
          <w:rFonts w:ascii="David" w:hAnsi="David"/>
          <w:rtl/>
        </w:rPr>
      </w:pPr>
      <w:r>
        <w:rPr>
          <w:rFonts w:ascii="David" w:hAnsi="David"/>
          <w:color w:val="000000" w:themeColor="text1"/>
          <w:rtl/>
        </w:rPr>
        <w:t>"</w:t>
      </w:r>
      <w:r>
        <w:rPr>
          <w:rFonts w:ascii="David" w:hAnsi="David"/>
          <w:b/>
          <w:bCs/>
          <w:color w:val="000000" w:themeColor="text1"/>
          <w:rtl/>
        </w:rPr>
        <w:t xml:space="preserve">... </w:t>
      </w:r>
      <w:hyperlink r:id="rId8" w:history="1">
        <w:r w:rsidRPr="00830C65">
          <w:rPr>
            <w:rStyle w:val="Hyperlink"/>
            <w:rFonts w:ascii="David" w:hAnsi="David"/>
            <w:b/>
            <w:bCs/>
            <w:color w:val="000000" w:themeColor="text1"/>
            <w:u w:val="none"/>
            <w:rtl/>
          </w:rPr>
          <w:t>סעיף 6(ו)</w:t>
        </w:r>
      </w:hyperlink>
      <w:r>
        <w:rPr>
          <w:rFonts w:ascii="David" w:hAnsi="David"/>
          <w:b/>
          <w:bCs/>
          <w:color w:val="000000" w:themeColor="text1"/>
          <w:rtl/>
        </w:rPr>
        <w:t xml:space="preserve"> מסמיך </w:t>
      </w:r>
      <w:r>
        <w:rPr>
          <w:rFonts w:ascii="David" w:hAnsi="David"/>
          <w:b/>
          <w:bCs/>
          <w:rtl/>
        </w:rPr>
        <w:t>את בית המשפט לענייני משפחה לשקול</w:t>
      </w:r>
      <w:r w:rsidR="00E720D9">
        <w:rPr>
          <w:rFonts w:ascii="David" w:hAnsi="David"/>
          <w:b/>
          <w:bCs/>
          <w:rtl/>
        </w:rPr>
        <w:t xml:space="preserve"> האם צירופו של צד שלישי (שאינו </w:t>
      </w:r>
      <w:r w:rsidR="00E720D9">
        <w:rPr>
          <w:rFonts w:ascii="David" w:hAnsi="David" w:hint="cs"/>
          <w:b/>
          <w:bCs/>
          <w:rtl/>
        </w:rPr>
        <w:t>'</w:t>
      </w:r>
      <w:r w:rsidR="00E720D9">
        <w:rPr>
          <w:rFonts w:ascii="David" w:hAnsi="David"/>
          <w:b/>
          <w:bCs/>
          <w:rtl/>
        </w:rPr>
        <w:t>בן משפחה</w:t>
      </w:r>
      <w:r w:rsidR="00E720D9">
        <w:rPr>
          <w:rFonts w:ascii="David" w:hAnsi="David" w:hint="cs"/>
          <w:b/>
          <w:bCs/>
          <w:rtl/>
        </w:rPr>
        <w:t>'</w:t>
      </w:r>
      <w:r>
        <w:rPr>
          <w:rFonts w:ascii="David" w:hAnsi="David"/>
          <w:b/>
          <w:bCs/>
          <w:rtl/>
        </w:rPr>
        <w:t xml:space="preserve"> כהגדרת מונח זה בחוק) נדרש לצורך בירור תובענה שמת</w:t>
      </w:r>
      <w:r w:rsidR="00E720D9">
        <w:rPr>
          <w:rFonts w:ascii="David" w:hAnsi="David"/>
          <w:b/>
          <w:bCs/>
          <w:rtl/>
        </w:rPr>
        <w:t xml:space="preserve">נהלת לפניו. ודוק, מדובר בסמכות </w:t>
      </w:r>
      <w:r w:rsidR="00E720D9">
        <w:rPr>
          <w:rFonts w:ascii="David" w:hAnsi="David" w:hint="cs"/>
          <w:b/>
          <w:bCs/>
          <w:rtl/>
        </w:rPr>
        <w:t>'</w:t>
      </w:r>
      <w:r w:rsidR="00E720D9">
        <w:rPr>
          <w:rFonts w:ascii="David" w:hAnsi="David"/>
          <w:b/>
          <w:bCs/>
          <w:rtl/>
        </w:rPr>
        <w:t>לגרור</w:t>
      </w:r>
      <w:r w:rsidR="00E720D9">
        <w:rPr>
          <w:rFonts w:ascii="David" w:hAnsi="David" w:hint="cs"/>
          <w:b/>
          <w:bCs/>
          <w:rtl/>
        </w:rPr>
        <w:t>'</w:t>
      </w:r>
      <w:r>
        <w:rPr>
          <w:rFonts w:ascii="David" w:hAnsi="David"/>
          <w:b/>
          <w:bCs/>
          <w:rtl/>
        </w:rPr>
        <w:t xml:space="preserve"> לתוך תובענה שמתנהלת בבית המשפ</w:t>
      </w:r>
      <w:r w:rsidR="00E720D9">
        <w:rPr>
          <w:rFonts w:ascii="David" w:hAnsi="David"/>
          <w:b/>
          <w:bCs/>
          <w:rtl/>
        </w:rPr>
        <w:t xml:space="preserve">ט לענייני משפחה גם צדדים שאינם </w:t>
      </w:r>
      <w:r w:rsidR="00E720D9">
        <w:rPr>
          <w:rFonts w:ascii="David" w:hAnsi="David" w:hint="cs"/>
          <w:b/>
          <w:bCs/>
          <w:rtl/>
        </w:rPr>
        <w:t>'</w:t>
      </w:r>
      <w:r w:rsidR="00E720D9">
        <w:rPr>
          <w:rFonts w:ascii="David" w:hAnsi="David"/>
          <w:b/>
          <w:bCs/>
          <w:rtl/>
        </w:rPr>
        <w:t>בני משפחה</w:t>
      </w:r>
      <w:r w:rsidR="00E720D9">
        <w:rPr>
          <w:rFonts w:ascii="David" w:hAnsi="David" w:hint="cs"/>
          <w:b/>
          <w:bCs/>
          <w:rtl/>
        </w:rPr>
        <w:t>'</w:t>
      </w:r>
      <w:r>
        <w:rPr>
          <w:rFonts w:ascii="David" w:hAnsi="David"/>
          <w:b/>
          <w:bCs/>
          <w:rtl/>
        </w:rPr>
        <w:t xml:space="preserve">. </w:t>
      </w:r>
      <w:r>
        <w:rPr>
          <w:rFonts w:ascii="David" w:hAnsi="David"/>
          <w:b/>
          <w:bCs/>
          <w:u w:val="single"/>
          <w:rtl/>
        </w:rPr>
        <w:t xml:space="preserve">במסגרת זו על בית המשפט לשקול את התועלת הדיונית שבצירופו של הצד השלישי לתובענה למול הפגיעה שעלולה להיגרם לו כתוצאה מהצירוף, והכול על רקע התכלית המצויה בבסיסו של החוק לרכז בערכאה מקצועית אחת את כל המחלוקות שבין בני </w:t>
      </w:r>
      <w:r>
        <w:rPr>
          <w:rFonts w:ascii="David" w:hAnsi="David"/>
          <w:b/>
          <w:bCs/>
          <w:color w:val="000000" w:themeColor="text1"/>
          <w:u w:val="single"/>
          <w:rtl/>
        </w:rPr>
        <w:t>משפחה בשים לב לאופיו המיוחד של הסכסוך המשפחתי</w:t>
      </w:r>
      <w:r>
        <w:rPr>
          <w:rFonts w:ascii="David" w:hAnsi="David"/>
          <w:b/>
          <w:bCs/>
          <w:color w:val="000000" w:themeColor="text1"/>
          <w:rtl/>
        </w:rPr>
        <w:t xml:space="preserve"> ... </w:t>
      </w:r>
      <w:r>
        <w:rPr>
          <w:rFonts w:ascii="David" w:hAnsi="David"/>
          <w:b/>
          <w:bCs/>
          <w:color w:val="000000" w:themeColor="text1"/>
          <w:u w:val="single"/>
          <w:rtl/>
        </w:rPr>
        <w:t>נוכח אופיו של בית המש</w:t>
      </w:r>
      <w:r w:rsidR="00E720D9">
        <w:rPr>
          <w:rFonts w:ascii="David" w:hAnsi="David"/>
          <w:b/>
          <w:bCs/>
          <w:color w:val="000000" w:themeColor="text1"/>
          <w:u w:val="single"/>
          <w:rtl/>
        </w:rPr>
        <w:t xml:space="preserve">פט לענייני משפחה כערכאה </w:t>
      </w:r>
      <w:r w:rsidR="00E720D9">
        <w:rPr>
          <w:rFonts w:ascii="David" w:hAnsi="David" w:hint="cs"/>
          <w:b/>
          <w:bCs/>
          <w:color w:val="000000" w:themeColor="text1"/>
          <w:u w:val="single"/>
          <w:rtl/>
        </w:rPr>
        <w:t>'</w:t>
      </w:r>
      <w:r w:rsidR="00E720D9">
        <w:rPr>
          <w:rFonts w:ascii="David" w:hAnsi="David"/>
          <w:b/>
          <w:bCs/>
          <w:color w:val="000000" w:themeColor="text1"/>
          <w:u w:val="single"/>
          <w:rtl/>
        </w:rPr>
        <w:t>מיוחדת</w:t>
      </w:r>
      <w:r w:rsidR="00E720D9">
        <w:rPr>
          <w:rFonts w:ascii="David" w:hAnsi="David" w:hint="cs"/>
          <w:b/>
          <w:bCs/>
          <w:color w:val="000000" w:themeColor="text1"/>
          <w:u w:val="single"/>
          <w:rtl/>
        </w:rPr>
        <w:t>'</w:t>
      </w:r>
      <w:r>
        <w:rPr>
          <w:rFonts w:ascii="David" w:hAnsi="David"/>
          <w:b/>
          <w:bCs/>
          <w:color w:val="000000" w:themeColor="text1"/>
          <w:u w:val="single"/>
          <w:rtl/>
        </w:rPr>
        <w:t xml:space="preserve"> שהוקמה לשם טיפול בסכסוכים משפחתיים, השתרשה </w:t>
      </w:r>
      <w:r>
        <w:rPr>
          <w:rFonts w:ascii="David" w:hAnsi="David"/>
          <w:b/>
          <w:bCs/>
          <w:color w:val="000000" w:themeColor="text1"/>
          <w:u w:val="single"/>
          <w:rtl/>
        </w:rPr>
        <w:lastRenderedPageBreak/>
        <w:t xml:space="preserve">בבתי המשפט לענייני משפחה מגמה לפיה השימוש בסמכות הקבועה </w:t>
      </w:r>
      <w:hyperlink r:id="rId9" w:history="1">
        <w:r>
          <w:rPr>
            <w:rStyle w:val="Hyperlink"/>
            <w:rFonts w:ascii="David" w:hAnsi="David"/>
            <w:b/>
            <w:bCs/>
            <w:color w:val="000000" w:themeColor="text1"/>
            <w:rtl/>
          </w:rPr>
          <w:t>בסעיף 6(ו)</w:t>
        </w:r>
      </w:hyperlink>
      <w:r>
        <w:rPr>
          <w:rFonts w:ascii="David" w:hAnsi="David"/>
          <w:b/>
          <w:bCs/>
          <w:color w:val="000000" w:themeColor="text1"/>
          <w:u w:val="single"/>
          <w:rtl/>
        </w:rPr>
        <w:t xml:space="preserve"> לחוק ייעשה</w:t>
      </w:r>
      <w:r>
        <w:rPr>
          <w:rFonts w:ascii="David" w:hAnsi="David"/>
          <w:b/>
          <w:bCs/>
          <w:u w:val="single"/>
          <w:rtl/>
        </w:rPr>
        <w:t xml:space="preserve"> בצמצום ובמשורה</w:t>
      </w:r>
      <w:r>
        <w:rPr>
          <w:rFonts w:ascii="David" w:hAnsi="David"/>
          <w:b/>
          <w:bCs/>
          <w:rtl/>
        </w:rPr>
        <w:t xml:space="preserve"> [ראו והשוו: שאול שוחט ודוד שאוה סדר הדין בבית המשפט לענייני משפחה 261-254 (התש"ע-2009) והדוגמאות המובאות שם מן הפסיקה]</w:t>
      </w:r>
      <w:r>
        <w:rPr>
          <w:rFonts w:ascii="David" w:hAnsi="David"/>
          <w:rtl/>
        </w:rPr>
        <w:t xml:space="preserve">...". </w:t>
      </w:r>
    </w:p>
    <w:p w:rsidR="00830C65" w:rsidRDefault="00830C65" w:rsidP="00830C65">
      <w:pPr>
        <w:spacing w:line="360" w:lineRule="auto"/>
        <w:ind w:right="142"/>
        <w:jc w:val="both"/>
        <w:rPr>
          <w:rFonts w:ascii="David" w:hAnsi="David"/>
          <w:rtl/>
        </w:rPr>
      </w:pPr>
    </w:p>
    <w:p w:rsidR="00830C65" w:rsidRDefault="00830C65" w:rsidP="00830C65">
      <w:pPr>
        <w:pStyle w:val="ad"/>
        <w:numPr>
          <w:ilvl w:val="0"/>
          <w:numId w:val="1"/>
        </w:numPr>
        <w:spacing w:line="360" w:lineRule="auto"/>
        <w:ind w:left="141"/>
        <w:jc w:val="both"/>
        <w:rPr>
          <w:rFonts w:ascii="David" w:hAnsi="David"/>
          <w:rtl/>
        </w:rPr>
      </w:pPr>
      <w:r>
        <w:rPr>
          <w:rFonts w:ascii="David" w:hAnsi="David"/>
          <w:rtl/>
        </w:rPr>
        <w:t xml:space="preserve">כך גם, ב- רע"א 6750/15 </w:t>
      </w:r>
      <w:r>
        <w:rPr>
          <w:rFonts w:ascii="David" w:hAnsi="David"/>
          <w:b/>
          <w:bCs/>
          <w:rtl/>
        </w:rPr>
        <w:t>שלמה סלומון דדון נ' בני אוליאל</w:t>
      </w:r>
      <w:r>
        <w:rPr>
          <w:rFonts w:ascii="David" w:hAnsi="David"/>
          <w:rtl/>
        </w:rPr>
        <w:t xml:space="preserve"> </w:t>
      </w:r>
      <w:r>
        <w:rPr>
          <w:rFonts w:ascii="David" w:hAnsi="David"/>
          <w:b/>
          <w:bCs/>
          <w:rtl/>
        </w:rPr>
        <w:t xml:space="preserve">(4.1.16) </w:t>
      </w:r>
      <w:r>
        <w:rPr>
          <w:rFonts w:ascii="David" w:hAnsi="David"/>
          <w:rtl/>
        </w:rPr>
        <w:t>עמד ביהמ"ש העליון על שאלת זהות הערכאה המבררת (ביהמ"ש אזרחי או ביהמ"ש לענייני משפחה) בציינו, בין היתר, את הדברים הבאים:</w:t>
      </w:r>
    </w:p>
    <w:p w:rsidR="00830C65" w:rsidRDefault="00830C65" w:rsidP="00830C65">
      <w:pPr>
        <w:pStyle w:val="ad"/>
        <w:spacing w:line="360" w:lineRule="auto"/>
        <w:ind w:left="1440" w:right="1276"/>
        <w:jc w:val="both"/>
        <w:rPr>
          <w:rFonts w:ascii="David" w:hAnsi="David"/>
          <w:b/>
          <w:bCs/>
          <w:rtl/>
        </w:rPr>
      </w:pPr>
      <w:r>
        <w:rPr>
          <w:rFonts w:ascii="David" w:hAnsi="David"/>
          <w:b/>
          <w:bCs/>
          <w:rtl/>
        </w:rPr>
        <w:t xml:space="preserve">"...בהתאם להמלצותיהן של ועדות מקצועיות הוקם בית המשפט לענייני משפחה, במטרה לכנס תחת קורת גג שיפוטית-מקצועית אחת את הטיפול בסוגיות משפטיות שונות, ששורשיהן במחלוקות בתוך התא המשפחתי. על מנת לסייע במילוי תפקידו זה, ניתנו לבית המשפט לענייני משפחה סמכויות שיפוט יחודיות בתחומים שונים, ונקבעו סדרי דין ודיני </w:t>
      </w:r>
      <w:r>
        <w:rPr>
          <w:rFonts w:ascii="David" w:hAnsi="David"/>
          <w:b/>
          <w:bCs/>
          <w:color w:val="000000" w:themeColor="text1"/>
          <w:rtl/>
        </w:rPr>
        <w:t xml:space="preserve">ראיות יחודיים, שנועדו לאפשר מתן פתרון מקיף לכלל המחלוקות שבין בני המשפחה, תוך התחשבות במרקם היחסים הרגיש והעדין שביניהם (ראו: </w:t>
      </w:r>
      <w:hyperlink r:id="rId10" w:history="1">
        <w:r w:rsidRPr="002B4821">
          <w:rPr>
            <w:rStyle w:val="Hyperlink"/>
            <w:rFonts w:ascii="David" w:hAnsi="David"/>
            <w:b/>
            <w:bCs/>
            <w:color w:val="000000" w:themeColor="text1"/>
            <w:u w:val="none"/>
            <w:rtl/>
          </w:rPr>
          <w:t>רע"א 6558/99 חבס נ' חבס, פ"ד נד</w:t>
        </w:r>
      </w:hyperlink>
      <w:r w:rsidRPr="002B4821">
        <w:rPr>
          <w:rFonts w:ascii="David" w:hAnsi="David"/>
          <w:b/>
          <w:bCs/>
          <w:color w:val="000000" w:themeColor="text1"/>
          <w:rtl/>
        </w:rPr>
        <w:t>(4) 337, 3</w:t>
      </w:r>
      <w:r w:rsidR="00E720D9">
        <w:rPr>
          <w:rFonts w:ascii="David" w:hAnsi="David"/>
          <w:b/>
          <w:bCs/>
          <w:color w:val="000000" w:themeColor="text1"/>
          <w:rtl/>
        </w:rPr>
        <w:t xml:space="preserve">43-342 (2000) (להלן: </w:t>
      </w:r>
      <w:r w:rsidR="00E720D9">
        <w:rPr>
          <w:rFonts w:ascii="David" w:hAnsi="David" w:hint="cs"/>
          <w:b/>
          <w:bCs/>
          <w:color w:val="000000" w:themeColor="text1"/>
          <w:rtl/>
        </w:rPr>
        <w:t>'</w:t>
      </w:r>
      <w:r w:rsidR="00E720D9">
        <w:rPr>
          <w:rFonts w:ascii="David" w:hAnsi="David"/>
          <w:b/>
          <w:bCs/>
          <w:color w:val="000000" w:themeColor="text1"/>
          <w:rtl/>
        </w:rPr>
        <w:t>עניין חבס</w:t>
      </w:r>
      <w:r w:rsidR="00E720D9">
        <w:rPr>
          <w:rFonts w:ascii="David" w:hAnsi="David" w:hint="cs"/>
          <w:b/>
          <w:bCs/>
          <w:color w:val="000000" w:themeColor="text1"/>
          <w:rtl/>
        </w:rPr>
        <w:t>'</w:t>
      </w:r>
      <w:r w:rsidRPr="002B4821">
        <w:rPr>
          <w:rFonts w:ascii="David" w:hAnsi="David"/>
          <w:b/>
          <w:bCs/>
          <w:color w:val="000000" w:themeColor="text1"/>
          <w:rtl/>
        </w:rPr>
        <w:t xml:space="preserve">); </w:t>
      </w:r>
      <w:hyperlink r:id="rId11" w:history="1">
        <w:r w:rsidRPr="002B4821">
          <w:rPr>
            <w:rStyle w:val="Hyperlink"/>
            <w:rFonts w:ascii="David" w:hAnsi="David"/>
            <w:b/>
            <w:bCs/>
            <w:color w:val="000000" w:themeColor="text1"/>
            <w:u w:val="none"/>
            <w:rtl/>
          </w:rPr>
          <w:t>בע"מ 164/11</w:t>
        </w:r>
      </w:hyperlink>
      <w:r>
        <w:rPr>
          <w:rFonts w:ascii="David" w:hAnsi="David"/>
          <w:b/>
          <w:bCs/>
          <w:color w:val="000000" w:themeColor="text1"/>
          <w:rtl/>
        </w:rPr>
        <w:t xml:space="preserve"> פלונית נ' פלוני, [פורסם בנבו] פסקה </w:t>
      </w:r>
      <w:r>
        <w:rPr>
          <w:rFonts w:ascii="David" w:hAnsi="David"/>
          <w:b/>
          <w:bCs/>
          <w:rtl/>
        </w:rPr>
        <w:t>10 (</w:t>
      </w:r>
      <w:r w:rsidR="00E720D9">
        <w:rPr>
          <w:rFonts w:ascii="David" w:hAnsi="David"/>
          <w:b/>
          <w:bCs/>
          <w:rtl/>
        </w:rPr>
        <w:t xml:space="preserve">29.4.2012) (להלן: </w:t>
      </w:r>
      <w:r w:rsidR="00E720D9">
        <w:rPr>
          <w:rFonts w:ascii="David" w:hAnsi="David" w:hint="cs"/>
          <w:b/>
          <w:bCs/>
          <w:rtl/>
        </w:rPr>
        <w:t>'</w:t>
      </w:r>
      <w:r w:rsidR="00E720D9">
        <w:rPr>
          <w:rFonts w:ascii="David" w:hAnsi="David"/>
          <w:b/>
          <w:bCs/>
          <w:rtl/>
        </w:rPr>
        <w:t>עניין פלונית</w:t>
      </w:r>
      <w:r w:rsidR="00E720D9">
        <w:rPr>
          <w:rFonts w:ascii="David" w:hAnsi="David" w:hint="cs"/>
          <w:b/>
          <w:bCs/>
          <w:rtl/>
        </w:rPr>
        <w:t>'</w:t>
      </w:r>
      <w:r>
        <w:rPr>
          <w:rFonts w:ascii="David" w:hAnsi="David"/>
          <w:b/>
          <w:bCs/>
          <w:rtl/>
        </w:rPr>
        <w:t xml:space="preserve">)). </w:t>
      </w:r>
    </w:p>
    <w:p w:rsidR="00830C65" w:rsidRDefault="00830C65" w:rsidP="00830C65">
      <w:pPr>
        <w:pStyle w:val="ad"/>
        <w:spacing w:line="360" w:lineRule="auto"/>
        <w:ind w:left="1440" w:right="1276"/>
        <w:jc w:val="both"/>
        <w:rPr>
          <w:rFonts w:ascii="David" w:hAnsi="David"/>
          <w:b/>
          <w:bCs/>
          <w:rtl/>
        </w:rPr>
      </w:pPr>
      <w:r>
        <w:rPr>
          <w:rFonts w:ascii="David" w:hAnsi="David"/>
          <w:b/>
          <w:bCs/>
          <w:rtl/>
        </w:rPr>
        <w:t>...</w:t>
      </w:r>
    </w:p>
    <w:p w:rsidR="00830C65" w:rsidRDefault="00830C65" w:rsidP="00830C65">
      <w:pPr>
        <w:pStyle w:val="ad"/>
        <w:spacing w:line="360" w:lineRule="auto"/>
        <w:ind w:left="1440" w:right="1276"/>
        <w:jc w:val="both"/>
        <w:rPr>
          <w:rFonts w:ascii="David" w:hAnsi="David"/>
          <w:b/>
          <w:bCs/>
          <w:rtl/>
        </w:rPr>
      </w:pPr>
      <w:r>
        <w:rPr>
          <w:rFonts w:ascii="David" w:hAnsi="David"/>
          <w:b/>
          <w:bCs/>
          <w:rtl/>
        </w:rPr>
        <w:t>"</w:t>
      </w:r>
      <w:r w:rsidRPr="008B1BA9">
        <w:rPr>
          <w:rFonts w:ascii="David" w:hAnsi="David"/>
          <w:b/>
          <w:bCs/>
          <w:u w:val="single"/>
          <w:rtl/>
        </w:rPr>
        <w:t>זאת ועוד, סבורני כי חיובו של מי שאינו נמנה על 'הגרעין הקשה' של בני המשפחה להתדיין בבית המשפט למשפחה עלול 'לקפחו' לעומת מתדיין בבתי המשפט האזרחיים ולשלול ממנו מספר יתרונות דיוניים וראייתיים העומדים לו בבתי משפט אלה</w:t>
      </w:r>
      <w:r>
        <w:rPr>
          <w:rFonts w:ascii="David" w:hAnsi="David"/>
          <w:b/>
          <w:bCs/>
          <w:rtl/>
        </w:rPr>
        <w:t xml:space="preserve">. </w:t>
      </w:r>
      <w:r w:rsidRPr="008B1BA9">
        <w:rPr>
          <w:rFonts w:ascii="David" w:hAnsi="David"/>
          <w:b/>
          <w:bCs/>
          <w:u w:val="single"/>
          <w:rtl/>
        </w:rPr>
        <w:t>הגמשת כללי הדיון ודיני הראיות לגיטימית כשמדובר בסכסוכים משפחתיים 'אמיתיים' על מנת שלבית המשפט למשפחה יהיו כלים להתמודד עם סוג זה של סכסוכים ולהכריע בהם בדרך התואמת את הבעייתיות המיוחדת להם. אך ככל שפוחתת ה'משפחתיות' המעורבת בסכסוך ראוי לאפשר למתדיינים למצות את זכויותיהם הדיוניות והראייתיות הלגיטימיות במסגרת התדיינות אזרחית 'רגילה'</w:t>
      </w:r>
      <w:r>
        <w:rPr>
          <w:rFonts w:ascii="David" w:hAnsi="David"/>
          <w:b/>
          <w:bCs/>
          <w:rtl/>
        </w:rPr>
        <w:t>" (עניין פלונית פסקה 19)...</w:t>
      </w:r>
    </w:p>
    <w:p w:rsidR="00830C65" w:rsidRDefault="00830C65" w:rsidP="00830C65">
      <w:pPr>
        <w:pStyle w:val="ad"/>
        <w:spacing w:line="360" w:lineRule="auto"/>
        <w:ind w:left="1440" w:right="1276"/>
        <w:jc w:val="both"/>
        <w:rPr>
          <w:rFonts w:ascii="David" w:hAnsi="David"/>
          <w:b/>
          <w:bCs/>
          <w:rtl/>
        </w:rPr>
      </w:pPr>
      <w:r>
        <w:rPr>
          <w:rFonts w:ascii="David" w:hAnsi="David"/>
          <w:b/>
          <w:bCs/>
          <w:rtl/>
        </w:rPr>
        <w:t>...</w:t>
      </w:r>
    </w:p>
    <w:p w:rsidR="00830C65" w:rsidRDefault="00830C65" w:rsidP="00830C65">
      <w:pPr>
        <w:pStyle w:val="ad"/>
        <w:spacing w:line="360" w:lineRule="auto"/>
        <w:ind w:left="1440" w:right="1276"/>
        <w:jc w:val="both"/>
        <w:rPr>
          <w:rFonts w:ascii="David" w:hAnsi="David"/>
          <w:rtl/>
        </w:rPr>
      </w:pPr>
      <w:r w:rsidRPr="002B4821">
        <w:rPr>
          <w:rFonts w:ascii="David" w:hAnsi="David"/>
          <w:b/>
          <w:bCs/>
          <w:u w:val="single"/>
          <w:rtl/>
        </w:rPr>
        <w:lastRenderedPageBreak/>
        <w:t>צירוף נתבעים זרים לבית המשפט לענייני משפחה עלול לפגוע בזכויותיהם הדיוניות של האחרונים, לבזבז משאבים מקצועיים יחודיים במקום בו אינם נדרשים, ולעמוד בניגוד לתכלית החוק</w:t>
      </w:r>
      <w:r>
        <w:rPr>
          <w:rFonts w:ascii="David" w:hAnsi="David"/>
          <w:b/>
          <w:bCs/>
          <w:rtl/>
        </w:rPr>
        <w:t>.</w:t>
      </w:r>
      <w:r>
        <w:rPr>
          <w:rFonts w:ascii="David" w:hAnsi="David"/>
          <w:rtl/>
        </w:rPr>
        <w:t>"</w:t>
      </w:r>
    </w:p>
    <w:p w:rsidR="00830C65" w:rsidRDefault="00830C65" w:rsidP="00830C65">
      <w:pPr>
        <w:spacing w:line="360" w:lineRule="auto"/>
        <w:rPr>
          <w:rFonts w:ascii="David" w:eastAsiaTheme="minorHAnsi" w:hAnsi="David"/>
          <w:rtl/>
        </w:rPr>
      </w:pPr>
    </w:p>
    <w:p w:rsidR="00830C65" w:rsidRDefault="008B1BA9" w:rsidP="00830C65">
      <w:pPr>
        <w:pStyle w:val="ad"/>
        <w:numPr>
          <w:ilvl w:val="0"/>
          <w:numId w:val="1"/>
        </w:numPr>
        <w:spacing w:line="360" w:lineRule="auto"/>
        <w:ind w:left="141"/>
        <w:jc w:val="both"/>
        <w:rPr>
          <w:rFonts w:ascii="David" w:hAnsi="David"/>
          <w:rtl/>
        </w:rPr>
      </w:pPr>
      <w:r>
        <w:rPr>
          <w:rFonts w:ascii="David" w:hAnsi="David" w:hint="cs"/>
          <w:rtl/>
        </w:rPr>
        <w:t>ובר</w:t>
      </w:r>
      <w:r w:rsidR="00830C65">
        <w:rPr>
          <w:rFonts w:ascii="David" w:hAnsi="David"/>
          <w:rtl/>
        </w:rPr>
        <w:t xml:space="preserve">מ"ש (ת"א) 3802-02-13 </w:t>
      </w:r>
      <w:r w:rsidR="00830C65">
        <w:rPr>
          <w:rFonts w:ascii="David" w:hAnsi="David"/>
          <w:b/>
          <w:bCs/>
          <w:rtl/>
        </w:rPr>
        <w:t>צ.ש נ' א.א</w:t>
      </w:r>
      <w:r w:rsidR="00830C65">
        <w:rPr>
          <w:rFonts w:ascii="David" w:hAnsi="David"/>
          <w:rtl/>
        </w:rPr>
        <w:t xml:space="preserve"> (21.3.13) נאמרו הדברים הבאים (ההדגשות אינן במקור):</w:t>
      </w:r>
    </w:p>
    <w:p w:rsidR="00830C65" w:rsidRDefault="00830C65" w:rsidP="00830C65">
      <w:pPr>
        <w:spacing w:line="360" w:lineRule="auto"/>
        <w:rPr>
          <w:rFonts w:ascii="David" w:hAnsi="David"/>
          <w:rtl/>
        </w:rPr>
      </w:pPr>
    </w:p>
    <w:p w:rsidR="00830C65" w:rsidRDefault="00830C65" w:rsidP="00830C65">
      <w:pPr>
        <w:pStyle w:val="ad"/>
        <w:spacing w:line="360" w:lineRule="auto"/>
        <w:ind w:left="1440" w:right="1276"/>
        <w:jc w:val="both"/>
        <w:rPr>
          <w:rFonts w:ascii="David" w:hAnsi="David"/>
          <w:b/>
          <w:bCs/>
          <w:rtl/>
        </w:rPr>
      </w:pPr>
      <w:r>
        <w:rPr>
          <w:rFonts w:ascii="David" w:hAnsi="David"/>
          <w:rtl/>
        </w:rPr>
        <w:t>"</w:t>
      </w:r>
      <w:r>
        <w:rPr>
          <w:rFonts w:ascii="David" w:hAnsi="David"/>
          <w:b/>
          <w:bCs/>
          <w:rtl/>
        </w:rPr>
        <w:t>על השיקולים אותם יפעיל בית המשפט לעניני משפחה לצורך עשיית שימוש בסעיף זה עמדתי בתמ"ש 60265/99 בש"א 3879/00 צויבל נ' צויבל ואח'...</w:t>
      </w:r>
    </w:p>
    <w:p w:rsidR="00830C65" w:rsidRDefault="00830C65" w:rsidP="00830C65">
      <w:pPr>
        <w:pStyle w:val="ad"/>
        <w:spacing w:line="360" w:lineRule="auto"/>
        <w:ind w:left="1440" w:right="1276"/>
        <w:jc w:val="both"/>
        <w:rPr>
          <w:rFonts w:ascii="David" w:hAnsi="David"/>
          <w:b/>
          <w:bCs/>
          <w:rtl/>
        </w:rPr>
      </w:pPr>
    </w:p>
    <w:p w:rsidR="00830C65" w:rsidRDefault="00830C65" w:rsidP="00830C65">
      <w:pPr>
        <w:pStyle w:val="ad"/>
        <w:spacing w:line="360" w:lineRule="auto"/>
        <w:ind w:left="1440" w:right="1276"/>
        <w:jc w:val="both"/>
        <w:rPr>
          <w:rFonts w:ascii="David" w:hAnsi="David"/>
          <w:b/>
          <w:bCs/>
          <w:u w:val="single"/>
          <w:rtl/>
        </w:rPr>
      </w:pPr>
      <w:r>
        <w:rPr>
          <w:rFonts w:ascii="David" w:hAnsi="David"/>
          <w:b/>
          <w:bCs/>
          <w:rtl/>
        </w:rPr>
        <w:t xml:space="preserve">"בהפעלת סמכות הצירוף על פי סעיף 6 (ו) לחוק ישקול בית המשפט גם את השאלה, </w:t>
      </w:r>
      <w:r>
        <w:rPr>
          <w:rFonts w:ascii="David" w:hAnsi="David"/>
          <w:b/>
          <w:bCs/>
          <w:u w:val="single"/>
          <w:rtl/>
        </w:rPr>
        <w:t xml:space="preserve">אם הצדק והתועלת בצירופו של הצד השלישי לצורך בירור התובענה וההכרעה בסכסוך, עולים על הפגיעה בענייננו של הצד השלישי שעד לצירופו כלל לא היה צד לתובענה. על בית המשפט לבחון את השאלה, אם לא ניתן לברר את התובענה ולהכריע בסכסוך ללא נוכחותו של הצד השלישי כבעל דין בה. </w:t>
      </w:r>
    </w:p>
    <w:p w:rsidR="00830C65" w:rsidRDefault="00830C65" w:rsidP="00830C65">
      <w:pPr>
        <w:pStyle w:val="ad"/>
        <w:spacing w:line="360" w:lineRule="auto"/>
        <w:ind w:left="1440" w:right="1276"/>
        <w:jc w:val="both"/>
        <w:rPr>
          <w:rFonts w:ascii="David" w:hAnsi="David"/>
          <w:b/>
          <w:bCs/>
          <w:rtl/>
        </w:rPr>
      </w:pPr>
      <w:r>
        <w:rPr>
          <w:rFonts w:ascii="David" w:hAnsi="David"/>
          <w:b/>
          <w:bCs/>
          <w:u w:val="single"/>
          <w:rtl/>
        </w:rPr>
        <w:t>במסגרת זו יש לבחון את מידת הפגיעה בענייננו של אותו צד ג' להיות מצורף באופן שאם ניתן להגיע לברור התובענה ולהכרעה בסכסוך שלא על דרך צירופו, כך יש לנהוג גם אם הדבר קשה יותר</w:t>
      </w:r>
      <w:r>
        <w:rPr>
          <w:rFonts w:ascii="David" w:hAnsi="David"/>
          <w:b/>
          <w:bCs/>
          <w:rtl/>
        </w:rPr>
        <w:t>.</w:t>
      </w:r>
    </w:p>
    <w:p w:rsidR="00830C65" w:rsidRDefault="00830C65" w:rsidP="00830C65">
      <w:pPr>
        <w:pStyle w:val="ad"/>
        <w:spacing w:line="360" w:lineRule="auto"/>
        <w:ind w:left="1440" w:right="1276"/>
        <w:jc w:val="both"/>
        <w:rPr>
          <w:rFonts w:ascii="David" w:hAnsi="David"/>
          <w:b/>
          <w:bCs/>
          <w:rtl/>
        </w:rPr>
      </w:pPr>
      <w:r>
        <w:rPr>
          <w:rFonts w:ascii="David" w:hAnsi="David"/>
          <w:b/>
          <w:bCs/>
          <w:rtl/>
        </w:rPr>
        <w:t>הגישה הכוללנית אינטגרטיבית של המחוקק בחקיקת החוק והמוצאת את ביטויה גם בסעיף 6 ו' לחוק, להביא לפתרון כולל של הסכסוך גם אם צדדים שלישיים שאינם בני משפחה מעורבים בו, אינה צריכה לבוא על חשבון הפגיעה בענייננו של אותו צד. אי לכך אין לעשות שימוש נרחב בהוראה זו"...</w:t>
      </w:r>
    </w:p>
    <w:p w:rsidR="00830C65" w:rsidRPr="008B1BA9" w:rsidRDefault="00830C65" w:rsidP="008B1BA9">
      <w:pPr>
        <w:pStyle w:val="ad"/>
        <w:spacing w:line="360" w:lineRule="auto"/>
        <w:ind w:left="1440" w:right="1276"/>
        <w:jc w:val="both"/>
        <w:rPr>
          <w:rFonts w:ascii="David" w:hAnsi="David"/>
          <w:color w:val="000000" w:themeColor="text1"/>
          <w:rtl/>
        </w:rPr>
      </w:pPr>
      <w:r>
        <w:rPr>
          <w:rFonts w:ascii="David" w:hAnsi="David"/>
          <w:b/>
          <w:bCs/>
          <w:rtl/>
        </w:rPr>
        <w:t xml:space="preserve">בבחינת נחיצות הצד השלישי שצירופו מתבקש לצורך בירור התובענה והכרעה בסכסוך אין בית המשפט יכול להסתפק בכך שכתב התביעה מפרט עילות המופנות במישרין נגד הצד השלישי בכדי שהדבר יהווה עילה מספקת לצירופו – שהרי </w:t>
      </w:r>
      <w:r>
        <w:rPr>
          <w:rFonts w:ascii="David" w:hAnsi="David"/>
          <w:b/>
          <w:bCs/>
          <w:u w:val="single"/>
          <w:rtl/>
        </w:rPr>
        <w:t xml:space="preserve">אם אין הכרח לקשור בין העילה המופנית נגד הצד השלישי ובין העילות המופנות כלפי יתר הנתבעים וניתן להסתפק בנוכחות של הצד השלישי כעד </w:t>
      </w:r>
      <w:r>
        <w:rPr>
          <w:rFonts w:ascii="David" w:hAnsi="David"/>
          <w:b/>
          <w:bCs/>
          <w:color w:val="000000" w:themeColor="text1"/>
          <w:rtl/>
        </w:rPr>
        <w:t>בהליך, אזי לא מתקיימת הצדקה לצירוף הצד השלישי כצד ( ראו יישום ב</w:t>
      </w:r>
      <w:hyperlink r:id="rId12" w:history="1">
        <w:r w:rsidRPr="002B4821">
          <w:rPr>
            <w:rStyle w:val="Hyperlink"/>
            <w:rFonts w:ascii="David" w:hAnsi="David"/>
            <w:b/>
            <w:bCs/>
            <w:color w:val="000000" w:themeColor="text1"/>
            <w:u w:val="none"/>
            <w:rtl/>
          </w:rPr>
          <w:t>רמ"ש 4901-05-10</w:t>
        </w:r>
      </w:hyperlink>
      <w:r w:rsidRPr="002B4821">
        <w:rPr>
          <w:rFonts w:ascii="David" w:hAnsi="David"/>
          <w:b/>
          <w:bCs/>
          <w:color w:val="000000" w:themeColor="text1"/>
          <w:rtl/>
        </w:rPr>
        <w:t>, שם)...</w:t>
      </w:r>
      <w:r w:rsidR="008B1BA9">
        <w:rPr>
          <w:rFonts w:ascii="David" w:hAnsi="David" w:hint="cs"/>
          <w:color w:val="000000" w:themeColor="text1"/>
          <w:rtl/>
        </w:rPr>
        <w:t>".</w:t>
      </w:r>
    </w:p>
    <w:p w:rsidR="00830C65" w:rsidRDefault="00830C65" w:rsidP="00830C65">
      <w:pPr>
        <w:pStyle w:val="ad"/>
        <w:spacing w:line="360" w:lineRule="auto"/>
        <w:ind w:left="1440" w:right="1276"/>
        <w:jc w:val="both"/>
        <w:rPr>
          <w:rFonts w:ascii="David" w:hAnsi="David"/>
          <w:b/>
          <w:bCs/>
          <w:rtl/>
        </w:rPr>
      </w:pPr>
    </w:p>
    <w:p w:rsidR="00830C65" w:rsidRPr="00830C65" w:rsidRDefault="00830C65" w:rsidP="00830C65">
      <w:pPr>
        <w:pStyle w:val="ad"/>
        <w:numPr>
          <w:ilvl w:val="0"/>
          <w:numId w:val="1"/>
        </w:numPr>
        <w:spacing w:line="360" w:lineRule="auto"/>
        <w:ind w:left="141"/>
        <w:jc w:val="both"/>
        <w:rPr>
          <w:rFonts w:ascii="David" w:hAnsi="David"/>
          <w:rtl/>
        </w:rPr>
      </w:pPr>
      <w:r w:rsidRPr="00830C65">
        <w:rPr>
          <w:rFonts w:ascii="David" w:hAnsi="David"/>
          <w:rtl/>
        </w:rPr>
        <w:lastRenderedPageBreak/>
        <w:t>מ</w:t>
      </w:r>
      <w:r w:rsidR="002B4821">
        <w:rPr>
          <w:rFonts w:ascii="David" w:hAnsi="David" w:hint="cs"/>
          <w:rtl/>
        </w:rPr>
        <w:t xml:space="preserve">ן </w:t>
      </w:r>
      <w:r w:rsidRPr="00830C65">
        <w:rPr>
          <w:rFonts w:ascii="David" w:hAnsi="David"/>
          <w:rtl/>
        </w:rPr>
        <w:t>האמור לעיל עולה</w:t>
      </w:r>
      <w:r w:rsidR="008B1BA9">
        <w:rPr>
          <w:rFonts w:ascii="David" w:hAnsi="David" w:hint="cs"/>
          <w:rtl/>
        </w:rPr>
        <w:t>,</w:t>
      </w:r>
      <w:r w:rsidRPr="00830C65">
        <w:rPr>
          <w:rFonts w:ascii="David" w:hAnsi="David"/>
          <w:rtl/>
        </w:rPr>
        <w:t xml:space="preserve"> כי ביהמ"ש לענייני משפחה לא יצרף בקלות צדדים שלישיים להליך המשפטי המתנהל בפניו</w:t>
      </w:r>
      <w:r w:rsidR="002B4821">
        <w:rPr>
          <w:rFonts w:ascii="David" w:hAnsi="David" w:hint="cs"/>
          <w:rtl/>
        </w:rPr>
        <w:t xml:space="preserve"> וכי השימוש בסעיף 6(ו) לחוק יעשה </w:t>
      </w:r>
      <w:r w:rsidR="002B4821" w:rsidRPr="00054FA6">
        <w:rPr>
          <w:rFonts w:ascii="David" w:hAnsi="David" w:hint="cs"/>
          <w:b/>
          <w:bCs/>
          <w:rtl/>
        </w:rPr>
        <w:t>במשורה ובצמצום</w:t>
      </w:r>
      <w:r w:rsidRPr="00830C65">
        <w:rPr>
          <w:rFonts w:ascii="David" w:hAnsi="David"/>
          <w:rtl/>
        </w:rPr>
        <w:t xml:space="preserve">. הטעם לכך נעוץ במטרה לשמה הוקם ביהמ"ש לענייני משפחה ולסמכויות המיוחדות שניתנו לו, לרבות סדרי דין ודיני ראיות ייחודיים, שנועדו לאפשר פתרון מקיף לכלל המחלוקות, תוך התחשבות במרקם היחסים העדין והרגיש שבין בני המשפחה שהנם צדדים לסכסוך. </w:t>
      </w:r>
    </w:p>
    <w:p w:rsidR="00830C65" w:rsidRDefault="00830C65" w:rsidP="00830C65">
      <w:pPr>
        <w:spacing w:line="360" w:lineRule="auto"/>
        <w:jc w:val="both"/>
        <w:rPr>
          <w:rFonts w:ascii="David" w:hAnsi="David"/>
          <w:rtl/>
        </w:rPr>
      </w:pPr>
    </w:p>
    <w:p w:rsidR="00830C65" w:rsidRDefault="008B1BA9" w:rsidP="00830C65">
      <w:pPr>
        <w:pStyle w:val="ad"/>
        <w:numPr>
          <w:ilvl w:val="0"/>
          <w:numId w:val="1"/>
        </w:numPr>
        <w:spacing w:line="360" w:lineRule="auto"/>
        <w:ind w:left="141"/>
        <w:jc w:val="both"/>
        <w:rPr>
          <w:rFonts w:ascii="David" w:hAnsi="David"/>
          <w:rtl/>
        </w:rPr>
      </w:pPr>
      <w:r>
        <w:rPr>
          <w:rFonts w:ascii="David" w:hAnsi="David" w:hint="cs"/>
          <w:rtl/>
        </w:rPr>
        <w:t xml:space="preserve">זאת ועוד, </w:t>
      </w:r>
      <w:r w:rsidR="00830C65">
        <w:rPr>
          <w:rFonts w:ascii="David" w:hAnsi="David"/>
          <w:rtl/>
        </w:rPr>
        <w:t xml:space="preserve">צירוף צד שלישי להליך משפטי הדן בסכסוך המשפחתי, עלול להוביל לפגיעה בזכויותיו של הצד השלישי. משכך, ישקול ביהמ"ש היטב האם הצדק והתועלת בצירופו של הצד השלישי, עולים על הפגיעה בעניינו, והאם לא ניתן להסתפק בנוכחותו של הצד השלישי בהליך כעד, חלף צירופו כבעל דין. </w:t>
      </w:r>
    </w:p>
    <w:p w:rsidR="00830C65" w:rsidRDefault="00830C65" w:rsidP="00830C65">
      <w:pPr>
        <w:spacing w:line="360" w:lineRule="auto"/>
        <w:jc w:val="both"/>
        <w:rPr>
          <w:rFonts w:ascii="David" w:hAnsi="David"/>
          <w:rtl/>
        </w:rPr>
      </w:pPr>
    </w:p>
    <w:p w:rsidR="00830C65" w:rsidRDefault="00830C65" w:rsidP="000A64CF">
      <w:pPr>
        <w:pStyle w:val="ad"/>
        <w:numPr>
          <w:ilvl w:val="0"/>
          <w:numId w:val="1"/>
        </w:numPr>
        <w:spacing w:line="360" w:lineRule="auto"/>
        <w:ind w:left="141"/>
        <w:jc w:val="both"/>
        <w:rPr>
          <w:rFonts w:ascii="David" w:hAnsi="David"/>
        </w:rPr>
      </w:pPr>
      <w:r w:rsidRPr="00830C65">
        <w:rPr>
          <w:rFonts w:ascii="David" w:hAnsi="David" w:hint="cs"/>
          <w:rtl/>
        </w:rPr>
        <w:t xml:space="preserve">בענייננו, </w:t>
      </w:r>
      <w:r w:rsidRPr="00830C65">
        <w:rPr>
          <w:rFonts w:ascii="David" w:hAnsi="David"/>
          <w:rtl/>
        </w:rPr>
        <w:t xml:space="preserve">הסעדים העיקריים המבוקשים </w:t>
      </w:r>
      <w:r w:rsidR="000A64CF">
        <w:rPr>
          <w:rFonts w:ascii="David" w:hAnsi="David" w:hint="cs"/>
          <w:rtl/>
        </w:rPr>
        <w:t>במסגרת כתב התביעה המתוקן</w:t>
      </w:r>
      <w:r w:rsidRPr="00830C65">
        <w:rPr>
          <w:rFonts w:ascii="David" w:hAnsi="David"/>
          <w:rtl/>
        </w:rPr>
        <w:t xml:space="preserve"> הם סעד הצהרתי הקובע כי העברת הזכויות במקרקעין נעשתה שלא כדין ועל כן בטלה וכן סעד אופרטיבי שעניינו צו עשה להשבת המצב הרישומי לקדמותו. סעדים אלו בכל הכבוד אי</w:t>
      </w:r>
      <w:r w:rsidR="000A64CF">
        <w:rPr>
          <w:rFonts w:ascii="David" w:hAnsi="David"/>
          <w:rtl/>
        </w:rPr>
        <w:t xml:space="preserve">נם נוגעים באופן ישיר </w:t>
      </w:r>
      <w:r w:rsidR="000A64CF">
        <w:rPr>
          <w:rFonts w:ascii="David" w:hAnsi="David" w:hint="cs"/>
          <w:rtl/>
        </w:rPr>
        <w:t>למבקשת,</w:t>
      </w:r>
      <w:r w:rsidRPr="00830C65">
        <w:rPr>
          <w:rFonts w:ascii="David" w:hAnsi="David"/>
          <w:rtl/>
        </w:rPr>
        <w:t xml:space="preserve"> שכן ל</w:t>
      </w:r>
      <w:r w:rsidR="000A64CF">
        <w:rPr>
          <w:rFonts w:ascii="David" w:hAnsi="David" w:hint="cs"/>
          <w:rtl/>
        </w:rPr>
        <w:t>מבקשת אין כל זכויות במקרקעין</w:t>
      </w:r>
      <w:r w:rsidRPr="00830C65">
        <w:rPr>
          <w:rFonts w:ascii="David" w:hAnsi="David"/>
          <w:rtl/>
        </w:rPr>
        <w:t>.</w:t>
      </w:r>
    </w:p>
    <w:p w:rsidR="000A64CF" w:rsidRPr="000A64CF" w:rsidRDefault="000A64CF" w:rsidP="000A64CF">
      <w:pPr>
        <w:pStyle w:val="ad"/>
        <w:rPr>
          <w:rFonts w:ascii="David" w:hAnsi="David"/>
          <w:rtl/>
        </w:rPr>
      </w:pPr>
    </w:p>
    <w:p w:rsidR="00830C65" w:rsidRDefault="00830C65" w:rsidP="002B4821">
      <w:pPr>
        <w:pStyle w:val="ad"/>
        <w:numPr>
          <w:ilvl w:val="0"/>
          <w:numId w:val="1"/>
        </w:numPr>
        <w:spacing w:line="360" w:lineRule="auto"/>
        <w:ind w:left="141"/>
        <w:jc w:val="both"/>
        <w:rPr>
          <w:rFonts w:ascii="David" w:hAnsi="David"/>
        </w:rPr>
      </w:pPr>
      <w:r w:rsidRPr="000A64CF">
        <w:rPr>
          <w:rFonts w:ascii="David" w:hAnsi="David"/>
          <w:rtl/>
        </w:rPr>
        <w:t xml:space="preserve">אמנם הכרעה בשאלה האם העברת הרישום בנכס נעשתה כדין אם לאו, עשויה להשליך בעקיפין על מערך היחסים שבין </w:t>
      </w:r>
      <w:r w:rsidR="000A64CF">
        <w:rPr>
          <w:rFonts w:ascii="David" w:hAnsi="David" w:hint="cs"/>
          <w:rtl/>
        </w:rPr>
        <w:t>המשיבה</w:t>
      </w:r>
      <w:r w:rsidR="000A64CF">
        <w:rPr>
          <w:rFonts w:ascii="David" w:hAnsi="David"/>
          <w:rtl/>
        </w:rPr>
        <w:t xml:space="preserve"> ל</w:t>
      </w:r>
      <w:r w:rsidR="000A64CF">
        <w:rPr>
          <w:rFonts w:ascii="David" w:hAnsi="David" w:hint="cs"/>
          <w:rtl/>
        </w:rPr>
        <w:t>מבקשת</w:t>
      </w:r>
      <w:r w:rsidRPr="000A64CF">
        <w:rPr>
          <w:rFonts w:ascii="David" w:hAnsi="David"/>
          <w:rtl/>
        </w:rPr>
        <w:t xml:space="preserve"> ולהקים עילות תביעה כנגד</w:t>
      </w:r>
      <w:r w:rsidR="000A64CF">
        <w:rPr>
          <w:rFonts w:ascii="David" w:hAnsi="David" w:hint="cs"/>
          <w:rtl/>
        </w:rPr>
        <w:t>ה</w:t>
      </w:r>
      <w:r w:rsidRPr="000A64CF">
        <w:rPr>
          <w:rFonts w:ascii="David" w:hAnsi="David"/>
          <w:rtl/>
        </w:rPr>
        <w:t>, למשל עילה נזיקית. אלא שעילות אלו אינן נתבעות בהליך שבפניי והן מחייבות בירור עובדתי ומש</w:t>
      </w:r>
      <w:r w:rsidR="002B4821">
        <w:rPr>
          <w:rFonts w:ascii="David" w:hAnsi="David"/>
          <w:rtl/>
        </w:rPr>
        <w:t>פטי שונה מזה שידון בפניי</w:t>
      </w:r>
      <w:r w:rsidR="002B4821">
        <w:rPr>
          <w:rFonts w:ascii="David" w:hAnsi="David" w:hint="cs"/>
          <w:rtl/>
        </w:rPr>
        <w:t>.</w:t>
      </w:r>
    </w:p>
    <w:p w:rsidR="002B4821" w:rsidRPr="002B4821" w:rsidRDefault="002B4821" w:rsidP="002B4821">
      <w:pPr>
        <w:pStyle w:val="ad"/>
        <w:rPr>
          <w:rFonts w:ascii="David" w:hAnsi="David"/>
          <w:rtl/>
        </w:rPr>
      </w:pPr>
    </w:p>
    <w:p w:rsidR="00830C65" w:rsidRDefault="00830C65" w:rsidP="002B4821">
      <w:pPr>
        <w:pStyle w:val="ad"/>
        <w:numPr>
          <w:ilvl w:val="0"/>
          <w:numId w:val="1"/>
        </w:numPr>
        <w:spacing w:line="360" w:lineRule="auto"/>
        <w:ind w:left="141"/>
        <w:jc w:val="both"/>
        <w:rPr>
          <w:rFonts w:ascii="David" w:hAnsi="David"/>
        </w:rPr>
      </w:pPr>
      <w:r>
        <w:rPr>
          <w:rFonts w:ascii="David" w:hAnsi="David"/>
          <w:rtl/>
        </w:rPr>
        <w:t>מסי</w:t>
      </w:r>
      <w:r w:rsidR="000A64CF">
        <w:rPr>
          <w:rFonts w:ascii="David" w:hAnsi="David"/>
          <w:rtl/>
        </w:rPr>
        <w:t>בות אלו שוכנעתי כי צירופ</w:t>
      </w:r>
      <w:r w:rsidR="002B4821">
        <w:rPr>
          <w:rFonts w:ascii="David" w:hAnsi="David" w:hint="cs"/>
          <w:rtl/>
        </w:rPr>
        <w:t>ה</w:t>
      </w:r>
      <w:r w:rsidR="000A64CF">
        <w:rPr>
          <w:rFonts w:ascii="David" w:hAnsi="David"/>
          <w:rtl/>
        </w:rPr>
        <w:t xml:space="preserve"> של </w:t>
      </w:r>
      <w:r w:rsidR="000A64CF">
        <w:rPr>
          <w:rFonts w:ascii="David" w:hAnsi="David" w:hint="cs"/>
          <w:rtl/>
        </w:rPr>
        <w:t>המבקשת להליך</w:t>
      </w:r>
      <w:r>
        <w:rPr>
          <w:rFonts w:ascii="David" w:hAnsi="David"/>
          <w:rtl/>
        </w:rPr>
        <w:t xml:space="preserve"> דנן לא יתרום לייעול ההליכים, שכן הבירור העובדתי שבפניי יכול להיעש</w:t>
      </w:r>
      <w:r w:rsidR="000A64CF">
        <w:rPr>
          <w:rFonts w:ascii="David" w:hAnsi="David"/>
          <w:rtl/>
        </w:rPr>
        <w:t>ות גם באמצעות זימונ</w:t>
      </w:r>
      <w:r w:rsidR="000A64CF">
        <w:rPr>
          <w:rFonts w:ascii="David" w:hAnsi="David" w:hint="cs"/>
          <w:rtl/>
        </w:rPr>
        <w:t xml:space="preserve">ה לעדות </w:t>
      </w:r>
      <w:r>
        <w:rPr>
          <w:rFonts w:ascii="David" w:hAnsi="David"/>
          <w:rtl/>
        </w:rPr>
        <w:t>ושמיעת</w:t>
      </w:r>
      <w:r w:rsidR="000A64CF">
        <w:rPr>
          <w:rFonts w:ascii="David" w:hAnsi="David" w:hint="cs"/>
          <w:rtl/>
        </w:rPr>
        <w:t>ה</w:t>
      </w:r>
      <w:r>
        <w:rPr>
          <w:rFonts w:ascii="David" w:hAnsi="David"/>
          <w:rtl/>
        </w:rPr>
        <w:t xml:space="preserve"> בחקירה נגדית. בכך אף לא יפגעו זכויותי</w:t>
      </w:r>
      <w:r w:rsidR="000A64CF">
        <w:rPr>
          <w:rFonts w:ascii="David" w:hAnsi="David" w:hint="cs"/>
          <w:rtl/>
        </w:rPr>
        <w:t>ה</w:t>
      </w:r>
      <w:r w:rsidR="000A64CF">
        <w:rPr>
          <w:rFonts w:ascii="David" w:hAnsi="David"/>
          <w:rtl/>
        </w:rPr>
        <w:t>, ככל ותקום כנגד</w:t>
      </w:r>
      <w:r w:rsidR="000A64CF">
        <w:rPr>
          <w:rFonts w:ascii="David" w:hAnsi="David" w:hint="cs"/>
          <w:rtl/>
        </w:rPr>
        <w:t>ה</w:t>
      </w:r>
      <w:r>
        <w:rPr>
          <w:rFonts w:ascii="David" w:hAnsi="David"/>
          <w:rtl/>
        </w:rPr>
        <w:t xml:space="preserve"> עילת תביעה בעתיד. </w:t>
      </w:r>
    </w:p>
    <w:p w:rsidR="002B4821" w:rsidRPr="002B4821" w:rsidRDefault="002B4821" w:rsidP="002B4821">
      <w:pPr>
        <w:pStyle w:val="ad"/>
        <w:rPr>
          <w:rFonts w:ascii="David" w:hAnsi="David"/>
          <w:rtl/>
        </w:rPr>
      </w:pPr>
    </w:p>
    <w:p w:rsidR="002B4821" w:rsidRDefault="008B1BA9" w:rsidP="002B4821">
      <w:pPr>
        <w:pStyle w:val="ad"/>
        <w:numPr>
          <w:ilvl w:val="0"/>
          <w:numId w:val="1"/>
        </w:numPr>
        <w:spacing w:line="360" w:lineRule="auto"/>
        <w:ind w:left="141"/>
        <w:jc w:val="both"/>
        <w:rPr>
          <w:rFonts w:ascii="David" w:hAnsi="David"/>
        </w:rPr>
      </w:pPr>
      <w:r>
        <w:rPr>
          <w:rFonts w:ascii="David" w:hAnsi="David" w:hint="cs"/>
          <w:rtl/>
        </w:rPr>
        <w:t xml:space="preserve">סוף דבר, דין הבקשה למחיקת המבקשת מכתב התביעה המתקון, מתקבלת. </w:t>
      </w:r>
      <w:r w:rsidR="002B4821">
        <w:rPr>
          <w:rFonts w:ascii="David" w:hAnsi="David" w:hint="cs"/>
          <w:rtl/>
        </w:rPr>
        <w:t xml:space="preserve">המשיבה תישא בהוצאות המבקשת בסך של 2,000 ₪. </w:t>
      </w:r>
    </w:p>
    <w:p w:rsidR="002B4821" w:rsidRPr="002B4821" w:rsidRDefault="002B4821" w:rsidP="002B4821">
      <w:pPr>
        <w:pStyle w:val="ad"/>
        <w:rPr>
          <w:rFonts w:ascii="David" w:hAnsi="David"/>
          <w:rtl/>
        </w:rPr>
      </w:pPr>
    </w:p>
    <w:p w:rsidR="002B4821" w:rsidRDefault="002B4821" w:rsidP="002B4821">
      <w:pPr>
        <w:pStyle w:val="ad"/>
        <w:spacing w:line="360" w:lineRule="auto"/>
        <w:ind w:left="141"/>
        <w:jc w:val="both"/>
        <w:rPr>
          <w:rFonts w:ascii="David" w:hAnsi="David"/>
          <w:rtl/>
        </w:rPr>
      </w:pPr>
      <w:r>
        <w:rPr>
          <w:rFonts w:ascii="David" w:hAnsi="David" w:hint="cs"/>
          <w:rtl/>
        </w:rPr>
        <w:t xml:space="preserve">המזכירות תמציא לצדדים ותמחוק רישומי המבקשת מההליך. </w:t>
      </w:r>
    </w:p>
    <w:p w:rsidR="008B1BA9" w:rsidRDefault="008B1BA9" w:rsidP="002B4821">
      <w:pPr>
        <w:pStyle w:val="ad"/>
        <w:spacing w:line="360" w:lineRule="auto"/>
        <w:ind w:left="141"/>
        <w:jc w:val="both"/>
        <w:rPr>
          <w:rFonts w:ascii="David" w:hAnsi="David"/>
          <w:rtl/>
        </w:rPr>
      </w:pPr>
    </w:p>
    <w:p w:rsidR="008B1BA9" w:rsidRPr="008B1BA9" w:rsidRDefault="008B1BA9" w:rsidP="002B4821">
      <w:pPr>
        <w:pStyle w:val="ad"/>
        <w:spacing w:line="360" w:lineRule="auto"/>
        <w:ind w:left="141"/>
        <w:jc w:val="both"/>
        <w:rPr>
          <w:rFonts w:ascii="David" w:hAnsi="David"/>
          <w:b/>
          <w:bCs/>
          <w:rtl/>
        </w:rPr>
      </w:pPr>
      <w:r w:rsidRPr="008B1BA9">
        <w:rPr>
          <w:rFonts w:ascii="David" w:hAnsi="David" w:hint="cs"/>
          <w:b/>
          <w:bCs/>
          <w:rtl/>
        </w:rPr>
        <w:t xml:space="preserve">ההחלטה מותרת לפרסום בהשמטת פרטים מזהים. </w:t>
      </w:r>
    </w:p>
    <w:p w:rsidR="00830C65" w:rsidRDefault="00830C65" w:rsidP="00830C65">
      <w:pPr>
        <w:spacing w:line="360" w:lineRule="auto"/>
        <w:jc w:val="both"/>
        <w:rPr>
          <w:rFonts w:ascii="David" w:hAnsi="David"/>
          <w:rtl/>
        </w:rPr>
      </w:pPr>
    </w:p>
    <w:p w:rsidR="00830C65" w:rsidRDefault="00830C65" w:rsidP="00830C65">
      <w:pPr>
        <w:spacing w:line="360" w:lineRule="auto"/>
        <w:jc w:val="both"/>
        <w:rPr>
          <w:rFonts w:ascii="David" w:hAnsi="David"/>
          <w:rtl/>
        </w:rPr>
      </w:pPr>
    </w:p>
    <w:p w:rsidR="00830C65" w:rsidRPr="00830C65" w:rsidRDefault="00830C65" w:rsidP="00830C65">
      <w:pPr>
        <w:pStyle w:val="ad"/>
        <w:spacing w:line="360" w:lineRule="auto"/>
        <w:ind w:left="141"/>
        <w:jc w:val="both"/>
        <w:rPr>
          <w:rFonts w:ascii="David" w:hAnsi="David"/>
          <w:rtl/>
        </w:rPr>
      </w:pPr>
    </w:p>
    <w:p w:rsidR="00D85CE2" w:rsidRPr="00DE1E7D" w:rsidRDefault="00D85CE2">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דצמבר 2024</w:t>
          </w:r>
        </w:sdtContent>
      </w:sdt>
      <w:r w:rsidR="00005C8B">
        <w:rPr>
          <w:rFonts w:ascii="Arial" w:hAnsi="Arial"/>
          <w:noProof w:val="0"/>
          <w:rtl/>
        </w:rPr>
        <w:t>, בהעדר הצדדים.</w:t>
      </w:r>
    </w:p>
    <w:p w:rsidR="00C43648" w:rsidRDefault="00D1698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05300405"/>
        </w:sdtPr>
        <w:sdtEndPr/>
        <w:sdtContent>
          <w:r w:rsidR="00290016">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4"/>
      <w:headerReference w:type="default" r:id="rId15"/>
      <w:footerReference w:type="even" r:id="rId16"/>
      <w:footerReference w:type="default" r:id="rId17"/>
      <w:headerReference w:type="first" r:id="rId18"/>
      <w:footerReference w:type="first" r:id="rId1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98E" w:rsidRDefault="00D1698E">
      <w:r>
        <w:separator/>
      </w:r>
    </w:p>
  </w:endnote>
  <w:endnote w:type="continuationSeparator" w:id="0">
    <w:p w:rsidR="00D1698E" w:rsidRDefault="00D1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8C0" w:rsidRDefault="009308C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501B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501B3">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8C0" w:rsidRDefault="009308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98E" w:rsidRDefault="00D1698E">
      <w:r>
        <w:separator/>
      </w:r>
    </w:p>
  </w:footnote>
  <w:footnote w:type="continuationSeparator" w:id="0">
    <w:p w:rsidR="00D1698E" w:rsidRDefault="00D16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8C0" w:rsidRDefault="009308C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1698E" w:rsidP="00E720D9">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תמ"ש</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12109-08-24</w:t>
              </w:r>
            </w:sdtContent>
          </w:sdt>
          <w:r w:rsidR="00005C8B">
            <w:rPr>
              <w:b/>
              <w:bCs/>
              <w:noProof w:val="0"/>
              <w:sz w:val="26"/>
              <w:szCs w:val="26"/>
              <w:rtl/>
            </w:rPr>
            <w:t xml:space="preserve"> </w:t>
          </w:r>
          <w:sdt>
            <w:sdtPr>
              <w:rPr>
                <w:rtl/>
              </w:rPr>
              <w:alias w:val="1172"/>
              <w:tag w:val="1172"/>
              <w:id w:val="-595170033"/>
              <w:text w:multiLine="1"/>
            </w:sdtPr>
            <w:sdtEndPr/>
            <w:sdtContent>
              <w:r w:rsidR="00E720D9">
                <w:rPr>
                  <w:rFonts w:hint="cs"/>
                  <w:b/>
                  <w:bCs/>
                  <w:noProof w:val="0"/>
                  <w:sz w:val="26"/>
                  <w:szCs w:val="26"/>
                  <w:rtl/>
                </w:rPr>
                <w:t>פלונית</w:t>
              </w:r>
              <w:r w:rsidR="00064651">
                <w:rPr>
                  <w:b/>
                  <w:bCs/>
                  <w:noProof w:val="0"/>
                  <w:sz w:val="26"/>
                  <w:szCs w:val="26"/>
                  <w:rtl/>
                </w:rPr>
                <w:t xml:space="preserve"> נ' </w:t>
              </w:r>
              <w:r w:rsidR="00E720D9">
                <w:rPr>
                  <w:rFonts w:hint="cs"/>
                  <w:b/>
                  <w:bCs/>
                  <w:noProof w:val="0"/>
                  <w:sz w:val="26"/>
                  <w:szCs w:val="26"/>
                  <w:rtl/>
                </w:rPr>
                <w:t>פלונים</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8C0" w:rsidRDefault="009308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02ECE"/>
    <w:multiLevelType w:val="hybridMultilevel"/>
    <w:tmpl w:val="DEF60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D7350C"/>
    <w:multiLevelType w:val="hybridMultilevel"/>
    <w:tmpl w:val="B37E8B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1CE5"/>
    <w:rsid w:val="000229A1"/>
    <w:rsid w:val="000529D2"/>
    <w:rsid w:val="00054FA6"/>
    <w:rsid w:val="000564AB"/>
    <w:rsid w:val="00064651"/>
    <w:rsid w:val="00064FBD"/>
    <w:rsid w:val="00082AB2"/>
    <w:rsid w:val="000906FE"/>
    <w:rsid w:val="00096AF7"/>
    <w:rsid w:val="000A64CF"/>
    <w:rsid w:val="000B2A6D"/>
    <w:rsid w:val="000B344B"/>
    <w:rsid w:val="000C3B0F"/>
    <w:rsid w:val="000C3B60"/>
    <w:rsid w:val="000E0DD2"/>
    <w:rsid w:val="000E3AF1"/>
    <w:rsid w:val="000F0BC8"/>
    <w:rsid w:val="000F0DD6"/>
    <w:rsid w:val="00103291"/>
    <w:rsid w:val="0010487B"/>
    <w:rsid w:val="00107E6D"/>
    <w:rsid w:val="0011194C"/>
    <w:rsid w:val="0011424C"/>
    <w:rsid w:val="001173C6"/>
    <w:rsid w:val="001367BC"/>
    <w:rsid w:val="00144D2A"/>
    <w:rsid w:val="0014653E"/>
    <w:rsid w:val="00180519"/>
    <w:rsid w:val="00191C82"/>
    <w:rsid w:val="001B6EAA"/>
    <w:rsid w:val="001C4003"/>
    <w:rsid w:val="001D4DBF"/>
    <w:rsid w:val="001E75CA"/>
    <w:rsid w:val="0022204D"/>
    <w:rsid w:val="00225BB3"/>
    <w:rsid w:val="002265FF"/>
    <w:rsid w:val="00234943"/>
    <w:rsid w:val="00271B56"/>
    <w:rsid w:val="0028443A"/>
    <w:rsid w:val="00290016"/>
    <w:rsid w:val="002B4821"/>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501B3"/>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30C65"/>
    <w:rsid w:val="00844318"/>
    <w:rsid w:val="0086061C"/>
    <w:rsid w:val="00863F5D"/>
    <w:rsid w:val="00870890"/>
    <w:rsid w:val="00873602"/>
    <w:rsid w:val="00875D12"/>
    <w:rsid w:val="00881CCE"/>
    <w:rsid w:val="0088479D"/>
    <w:rsid w:val="008935FB"/>
    <w:rsid w:val="00896889"/>
    <w:rsid w:val="00897DAF"/>
    <w:rsid w:val="008B1BA9"/>
    <w:rsid w:val="008C5714"/>
    <w:rsid w:val="008D10B2"/>
    <w:rsid w:val="00903896"/>
    <w:rsid w:val="00906F3D"/>
    <w:rsid w:val="009308C0"/>
    <w:rsid w:val="0094424E"/>
    <w:rsid w:val="00955642"/>
    <w:rsid w:val="009622DF"/>
    <w:rsid w:val="0096493F"/>
    <w:rsid w:val="00967DFF"/>
    <w:rsid w:val="00994341"/>
    <w:rsid w:val="00996935"/>
    <w:rsid w:val="009D1A48"/>
    <w:rsid w:val="009E1CE7"/>
    <w:rsid w:val="009E4EA5"/>
    <w:rsid w:val="009F101A"/>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139CC"/>
    <w:rsid w:val="00B5356E"/>
    <w:rsid w:val="00B809AD"/>
    <w:rsid w:val="00B80CBD"/>
    <w:rsid w:val="00B82BE2"/>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1698E"/>
    <w:rsid w:val="00D27982"/>
    <w:rsid w:val="00D33B86"/>
    <w:rsid w:val="00D44968"/>
    <w:rsid w:val="00D53924"/>
    <w:rsid w:val="00D55D0C"/>
    <w:rsid w:val="00D85CE2"/>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720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85CE2"/>
    <w:pPr>
      <w:ind w:left="720"/>
      <w:contextualSpacing/>
    </w:pPr>
  </w:style>
  <w:style w:type="character" w:styleId="Hyperlink">
    <w:name w:val="Hyperlink"/>
    <w:basedOn w:val="a0"/>
    <w:uiPriority w:val="99"/>
    <w:semiHidden/>
    <w:unhideWhenUsed/>
    <w:rsid w:val="00830C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9498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3290260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98460/6.f"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nevo.co.il/case/600943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24370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evo.co.il/case/6072334"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law/98460/6.f"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56E45" w:rsidP="00B56E45">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A399D"/>
    <w:rsid w:val="002A56A9"/>
    <w:rsid w:val="002D02C4"/>
    <w:rsid w:val="00345C9D"/>
    <w:rsid w:val="00405FEA"/>
    <w:rsid w:val="004745AE"/>
    <w:rsid w:val="0048651F"/>
    <w:rsid w:val="005157ED"/>
    <w:rsid w:val="00556D67"/>
    <w:rsid w:val="00746837"/>
    <w:rsid w:val="00793995"/>
    <w:rsid w:val="007C6F98"/>
    <w:rsid w:val="007E254A"/>
    <w:rsid w:val="0086433F"/>
    <w:rsid w:val="00887149"/>
    <w:rsid w:val="008B4366"/>
    <w:rsid w:val="009133C7"/>
    <w:rsid w:val="009178E4"/>
    <w:rsid w:val="00961B27"/>
    <w:rsid w:val="00990020"/>
    <w:rsid w:val="00AA7CE3"/>
    <w:rsid w:val="00B25CBF"/>
    <w:rsid w:val="00B42D7E"/>
    <w:rsid w:val="00B45677"/>
    <w:rsid w:val="00B56E45"/>
    <w:rsid w:val="00B91FA3"/>
    <w:rsid w:val="00BE6557"/>
    <w:rsid w:val="00C96C06"/>
    <w:rsid w:val="00DA101B"/>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56E45"/>
    <w:pPr>
      <w:bidi/>
      <w:spacing w:after="0" w:line="240" w:lineRule="auto"/>
    </w:pPr>
    <w:rPr>
      <w:rFonts w:ascii="Times New Roman" w:eastAsia="Times New Roman" w:hAnsi="Times New Roman" w:cs="David"/>
      <w:noProof/>
      <w:sz w:val="24"/>
      <w:szCs w:val="24"/>
    </w:rPr>
  </w:style>
  <w:style w:type="paragraph" w:customStyle="1" w:styleId="052DA0260A4944B7970CCCDEDFB94927">
    <w:name w:val="052DA0260A4944B7970CCCDEDFB94927"/>
    <w:rsid w:val="00B56E45"/>
    <w:pPr>
      <w:bidi/>
      <w:spacing w:after="160" w:line="259" w:lineRule="auto"/>
    </w:pPr>
  </w:style>
  <w:style w:type="paragraph" w:customStyle="1" w:styleId="1433322076894D7BAE8CD2D7EFB74CA7">
    <w:name w:val="1433322076894D7BAE8CD2D7EFB74CA7"/>
    <w:rsid w:val="00B56E45"/>
    <w:pPr>
      <w:bidi/>
      <w:spacing w:after="160" w:line="259" w:lineRule="auto"/>
    </w:pPr>
  </w:style>
  <w:style w:type="paragraph" w:customStyle="1" w:styleId="E93E72E1693649B78113B81029CFF450">
    <w:name w:val="E93E72E1693649B78113B81029CFF450"/>
    <w:rsid w:val="00B56E45"/>
    <w:pPr>
      <w:bidi/>
      <w:spacing w:after="160" w:line="259" w:lineRule="auto"/>
    </w:pPr>
  </w:style>
  <w:style w:type="paragraph" w:customStyle="1" w:styleId="3FC4AFA467A54AC49598A5EE3DF661F8">
    <w:name w:val="3FC4AFA467A54AC49598A5EE3DF661F8"/>
    <w:rsid w:val="00B56E4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1383</Words>
  <Characters>6919</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2024-12-24T07:44:00Z</dcterms:created>
  <dcterms:modified xsi:type="dcterms:W3CDTF">2024-12-24T07:44:00Z</dcterms:modified>
</cp:coreProperties>
</file>